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仿宋_GB2312"/>
          <w:color w:val="000000"/>
          <w:kern w:val="0"/>
          <w:sz w:val="44"/>
          <w:szCs w:val="44"/>
        </w:rPr>
        <w:t>甘肃省科技专家库入库基本条件</w:t>
      </w:r>
    </w:p>
    <w:bookmarkEnd w:id="0"/>
    <w:p>
      <w:pPr>
        <w:spacing w:line="700" w:lineRule="exact"/>
        <w:jc w:val="center"/>
        <w:rPr>
          <w:rFonts w:hint="eastAsia" w:ascii="方正小标宋简体" w:hAnsi="仿宋" w:eastAsia="方正小标宋简体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一、基本条件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具有严谨的科学精神、良好的政治素质和职业道德；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遵守国家法律、法规；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（三）从事相关领域工作满5年以上，熟悉本学科、本专业领域国内外发展动态；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（四）年龄不超过60岁（两院院士、博士生导师、享受国务院或省政府特殊津贴的专家可适当放宽年龄）；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（五）具有副高级及以上技术职称。财务专家需具备相关职业资格，管理专家不受职称限制。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根据工作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需要，在专家库之中建立高层次专家库，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符合以下条件的专家优先入选：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（一）两院院士及国家相关人才计划入选者；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（二）国家级、省级各类科技创新基地的负责人和学术委员会主任；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（三）国家各类科技计划、国家自然科学基金会评专家；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（四）国家重点科技计划项目及省级重大科技项目负责人；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（五）国家科学技术奖励获得者、省部级科学技术奖励或专利奖励一等奖以上获得者（第一完成人）；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（六）享受国务院特殊津贴的专家；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（七）与我省企事业单位长期合作、学术造诣深、在国内同行专家中具有较高知名度的省外专家；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（八）高新技术企业技术负责人、熟悉本行业领域的产业界专家及创业导师；</w:t>
      </w:r>
    </w:p>
    <w:p>
      <w:pPr>
        <w:spacing w:line="600" w:lineRule="exact"/>
        <w:ind w:firstLine="640" w:firstLineChars="200"/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（九）熟悉项目经济评价、财务分析等工作的高级经济管理类专家。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二、有下列情形之一的，不得入选专家库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无民事行为能力或者限制民事行为能力的；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被开除公职或者被取消执业资质的;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（三）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其它影响其履行专家职责的制约条件。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E349A"/>
    <w:rsid w:val="7CA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2018-04-19T07:36:00Z</dcterms:created>
  <dc:creator>lenovo</dc:creator>
  <cp:lastModifiedBy>lenovo</cp:lastModifiedBy>
  <dcterms:modified xsi:type="dcterms:W3CDTF">2018-04-19T07:37:15Z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