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ascii="微软雅黑" w:hAnsi="微软雅黑" w:eastAsia="微软雅黑" w:cs="微软雅黑"/>
          <w:b/>
          <w:i w:val="0"/>
          <w:caps w:val="0"/>
          <w:color w:val="000000"/>
          <w:spacing w:val="0"/>
          <w:sz w:val="30"/>
          <w:szCs w:val="30"/>
        </w:rPr>
      </w:pPr>
      <w:r>
        <w:rPr>
          <w:rFonts w:hint="eastAsia" w:ascii="微软雅黑" w:hAnsi="微软雅黑" w:eastAsia="微软雅黑" w:cs="微软雅黑"/>
          <w:b/>
          <w:i w:val="0"/>
          <w:caps w:val="0"/>
          <w:color w:val="000000"/>
          <w:spacing w:val="0"/>
          <w:sz w:val="30"/>
          <w:szCs w:val="30"/>
          <w:bdr w:val="none" w:color="auto" w:sz="0" w:space="0"/>
          <w:shd w:val="clear" w:fill="FFFFFF"/>
        </w:rPr>
        <w:t>2020年度国家自然科学基金委员会与以色列科学基金会合作研究项目指南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390" w:firstLineChars="200"/>
        <w:jc w:val="both"/>
        <w:rPr>
          <w:rFonts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根据国家自然科学基金委员会（NSFC）与以色列科学基金会（ISF）于2007年10月签署的合作备忘录和之后达成的合作共识，2020年双方将继续共同</w:t>
      </w:r>
      <w:bookmarkStart w:id="0" w:name="_GoBack"/>
      <w:bookmarkEnd w:id="0"/>
      <w:r>
        <w:rPr>
          <w:rFonts w:hint="eastAsia" w:ascii="微软雅黑" w:hAnsi="微软雅黑" w:eastAsia="微软雅黑" w:cs="微软雅黑"/>
          <w:i w:val="0"/>
          <w:caps w:val="0"/>
          <w:color w:val="000000"/>
          <w:spacing w:val="0"/>
          <w:sz w:val="19"/>
          <w:szCs w:val="19"/>
          <w:bdr w:val="none" w:color="auto" w:sz="0" w:space="0"/>
          <w:shd w:val="clear" w:fill="FFFFFF"/>
        </w:rPr>
        <w:t>资助合作研究项目，支持两国科学家开展实质性的创新研究与合作。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一、项目说明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（一）资助领域。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经协商，2020年的合作领域为生命科学和医学，具体方向如下：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1.生命科学领域：</w:t>
      </w:r>
    </w:p>
    <w:tbl>
      <w:tblPr>
        <w:tblW w:w="0" w:type="auto"/>
        <w:jc w:val="center"/>
        <w:tblCellSpacing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autofit"/>
        <w:tblCellMar>
          <w:top w:w="0" w:type="dxa"/>
          <w:left w:w="0" w:type="dxa"/>
          <w:bottom w:w="0" w:type="dxa"/>
          <w:right w:w="0" w:type="dxa"/>
        </w:tblCellMar>
      </w:tblPr>
      <w:tblGrid>
        <w:gridCol w:w="2010"/>
        <w:gridCol w:w="1695"/>
        <w:gridCol w:w="4170"/>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blCellSpacing w:w="0" w:type="dxa"/>
          <w:jc w:val="center"/>
        </w:trPr>
        <w:tc>
          <w:tcPr>
            <w:tcW w:w="2010" w:type="dxa"/>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center"/>
              <w:rPr>
                <w:rFonts w:hint="eastAsia" w:ascii="微软雅黑" w:hAnsi="微软雅黑" w:eastAsia="微软雅黑" w:cs="微软雅黑"/>
              </w:rPr>
            </w:pPr>
            <w:r>
              <w:rPr>
                <w:rFonts w:hint="eastAsia" w:ascii="微软雅黑" w:hAnsi="微软雅黑" w:eastAsia="微软雅黑" w:cs="微软雅黑"/>
                <w:b/>
                <w:i w:val="0"/>
                <w:caps w:val="0"/>
                <w:color w:val="000000"/>
                <w:spacing w:val="0"/>
                <w:sz w:val="19"/>
                <w:szCs w:val="19"/>
                <w:bdr w:val="none" w:color="auto" w:sz="0" w:space="0"/>
              </w:rPr>
              <w:t>申请代码</w:t>
            </w:r>
          </w:p>
        </w:tc>
        <w:tc>
          <w:tcPr>
            <w:tcW w:w="5865" w:type="dxa"/>
            <w:gridSpan w:val="2"/>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center"/>
              <w:rPr>
                <w:rFonts w:hint="eastAsia" w:ascii="微软雅黑" w:hAnsi="微软雅黑" w:eastAsia="微软雅黑" w:cs="微软雅黑"/>
              </w:rPr>
            </w:pPr>
            <w:r>
              <w:rPr>
                <w:rFonts w:hint="eastAsia" w:ascii="微软雅黑" w:hAnsi="微软雅黑" w:eastAsia="微软雅黑" w:cs="微软雅黑"/>
                <w:b/>
                <w:i w:val="0"/>
                <w:caps w:val="0"/>
                <w:color w:val="000000"/>
                <w:spacing w:val="0"/>
                <w:sz w:val="19"/>
                <w:szCs w:val="19"/>
                <w:bdr w:val="none" w:color="auto" w:sz="0" w:space="0"/>
              </w:rPr>
              <w:t>具体方向</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jc w:val="center"/>
        </w:trPr>
        <w:tc>
          <w:tcPr>
            <w:tcW w:w="2010" w:type="dxa"/>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center"/>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rPr>
              <w:t>C06</w:t>
            </w:r>
          </w:p>
        </w:tc>
        <w:tc>
          <w:tcPr>
            <w:tcW w:w="5865" w:type="dxa"/>
            <w:gridSpan w:val="2"/>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rPr>
              <w:t>生物信息学（Bioinformatics）</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jc w:val="center"/>
        </w:trPr>
        <w:tc>
          <w:tcPr>
            <w:tcW w:w="2010" w:type="dxa"/>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center"/>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rPr>
              <w:t>C01</w:t>
            </w:r>
          </w:p>
        </w:tc>
        <w:tc>
          <w:tcPr>
            <w:tcW w:w="5865" w:type="dxa"/>
            <w:gridSpan w:val="2"/>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rPr>
              <w:t>微生物学（Microbiology）</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jc w:val="center"/>
        </w:trPr>
        <w:tc>
          <w:tcPr>
            <w:tcW w:w="2010" w:type="dxa"/>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center"/>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rPr>
              <w:t>C07</w:t>
            </w:r>
          </w:p>
        </w:tc>
        <w:tc>
          <w:tcPr>
            <w:tcW w:w="5865" w:type="dxa"/>
            <w:gridSpan w:val="2"/>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rPr>
              <w:t>细胞生物学(Cell biology)</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jc w:val="center"/>
        </w:trPr>
        <w:tc>
          <w:tcPr>
            <w:tcW w:w="2010" w:type="dxa"/>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center"/>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rPr>
              <w:t>C12</w:t>
            </w:r>
          </w:p>
        </w:tc>
        <w:tc>
          <w:tcPr>
            <w:tcW w:w="5865" w:type="dxa"/>
            <w:gridSpan w:val="2"/>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rPr>
              <w:t>发育生物学（Developmental biology）</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jc w:val="center"/>
        </w:trPr>
        <w:tc>
          <w:tcPr>
            <w:tcW w:w="2010" w:type="dxa"/>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center"/>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rPr>
              <w:t>C08</w:t>
            </w:r>
          </w:p>
        </w:tc>
        <w:tc>
          <w:tcPr>
            <w:tcW w:w="5865" w:type="dxa"/>
            <w:gridSpan w:val="2"/>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rPr>
              <w:t>免疫学（Immunology）</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jc w:val="center"/>
        </w:trPr>
        <w:tc>
          <w:tcPr>
            <w:tcW w:w="2010" w:type="dxa"/>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center"/>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rPr>
              <w:t>C05</w:t>
            </w:r>
          </w:p>
        </w:tc>
        <w:tc>
          <w:tcPr>
            <w:tcW w:w="5865" w:type="dxa"/>
            <w:gridSpan w:val="2"/>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rPr>
              <w:t>生物化学（Biochemistry）</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jc w:val="center"/>
        </w:trPr>
        <w:tc>
          <w:tcPr>
            <w:tcW w:w="2010" w:type="dxa"/>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center"/>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rPr>
              <w:t>C09</w:t>
            </w:r>
          </w:p>
        </w:tc>
        <w:tc>
          <w:tcPr>
            <w:tcW w:w="5865" w:type="dxa"/>
            <w:gridSpan w:val="2"/>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rPr>
              <w:t>神经生物学（Neurobiology）认知心理学（Cognitive psychology）</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jc w:val="center"/>
        </w:trPr>
        <w:tc>
          <w:tcPr>
            <w:tcW w:w="2010" w:type="dxa"/>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center"/>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rPr>
              <w:t>C21</w:t>
            </w:r>
          </w:p>
        </w:tc>
        <w:tc>
          <w:tcPr>
            <w:tcW w:w="5865" w:type="dxa"/>
            <w:gridSpan w:val="2"/>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rPr>
              <w:t>分子生物学（Molecular biology）</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jc w:val="center"/>
        </w:trPr>
        <w:tc>
          <w:tcPr>
            <w:tcW w:w="2010" w:type="dxa"/>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center"/>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rPr>
              <w:t>C04</w:t>
            </w:r>
          </w:p>
        </w:tc>
        <w:tc>
          <w:tcPr>
            <w:tcW w:w="5865" w:type="dxa"/>
            <w:gridSpan w:val="2"/>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rPr>
              <w:t>动物学（Zoology）</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jc w:val="center"/>
        </w:trPr>
        <w:tc>
          <w:tcPr>
            <w:tcW w:w="2010" w:type="dxa"/>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center"/>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rPr>
              <w:t>C03</w:t>
            </w:r>
          </w:p>
        </w:tc>
        <w:tc>
          <w:tcPr>
            <w:tcW w:w="5865" w:type="dxa"/>
            <w:gridSpan w:val="2"/>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rPr>
              <w:t>生态学（Ecology）</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jc w:val="center"/>
        </w:trPr>
        <w:tc>
          <w:tcPr>
            <w:tcW w:w="2010" w:type="dxa"/>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center"/>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rPr>
              <w:t>C19</w:t>
            </w:r>
          </w:p>
        </w:tc>
        <w:tc>
          <w:tcPr>
            <w:tcW w:w="5865" w:type="dxa"/>
            <w:gridSpan w:val="2"/>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rPr>
              <w:t>海洋生物学（Marine biology）</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jc w:val="center"/>
        </w:trPr>
        <w:tc>
          <w:tcPr>
            <w:tcW w:w="2010" w:type="dxa"/>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center"/>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rPr>
              <w:t>C02</w:t>
            </w:r>
          </w:p>
        </w:tc>
        <w:tc>
          <w:tcPr>
            <w:tcW w:w="5865" w:type="dxa"/>
            <w:gridSpan w:val="2"/>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rPr>
              <w:t>植物科学（Plant sciences）</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jc w:val="center"/>
        </w:trPr>
        <w:tc>
          <w:tcPr>
            <w:tcW w:w="2010" w:type="dxa"/>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center"/>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rPr>
              <w:t>C13</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center"/>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rPr>
              <w:t> </w:t>
            </w:r>
          </w:p>
        </w:tc>
        <w:tc>
          <w:tcPr>
            <w:tcW w:w="1695" w:type="dxa"/>
            <w:vMerge w:val="restart"/>
            <w:shd w:val="clear" w:color="auto" w:fill="FFFFFF"/>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center"/>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rPr>
              <w:t>农业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center"/>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rPr>
              <w:t>（Agriculture）</w:t>
            </w:r>
          </w:p>
        </w:tc>
        <w:tc>
          <w:tcPr>
            <w:tcW w:w="4170" w:type="dxa"/>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rPr>
              <w:t>作物学（Crop science）</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jc w:val="center"/>
        </w:trPr>
        <w:tc>
          <w:tcPr>
            <w:tcW w:w="2010" w:type="dxa"/>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center"/>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rPr>
              <w:t>C14</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center"/>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rPr>
              <w:t> </w:t>
            </w:r>
          </w:p>
        </w:tc>
        <w:tc>
          <w:tcPr>
            <w:tcW w:w="1695" w:type="dxa"/>
            <w:vMerge w:val="continue"/>
            <w:shd w:val="clear" w:color="auto" w:fill="FFFFFF"/>
            <w:vAlign w:val="center"/>
          </w:tcPr>
          <w:p>
            <w:pPr>
              <w:jc w:val="both"/>
              <w:rPr>
                <w:rFonts w:hint="eastAsia" w:ascii="微软雅黑" w:hAnsi="微软雅黑" w:eastAsia="微软雅黑" w:cs="微软雅黑"/>
                <w:i w:val="0"/>
                <w:caps w:val="0"/>
                <w:color w:val="000000"/>
                <w:spacing w:val="0"/>
                <w:sz w:val="19"/>
                <w:szCs w:val="19"/>
              </w:rPr>
            </w:pPr>
          </w:p>
        </w:tc>
        <w:tc>
          <w:tcPr>
            <w:tcW w:w="4170" w:type="dxa"/>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rPr>
              <w:t>植物保护学（Plant protection）</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jc w:val="center"/>
        </w:trPr>
        <w:tc>
          <w:tcPr>
            <w:tcW w:w="2010" w:type="dxa"/>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center"/>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rPr>
              <w:t>C15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center"/>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rPr>
              <w:t> </w:t>
            </w:r>
          </w:p>
        </w:tc>
        <w:tc>
          <w:tcPr>
            <w:tcW w:w="1695" w:type="dxa"/>
            <w:vMerge w:val="continue"/>
            <w:shd w:val="clear" w:color="auto" w:fill="FFFFFF"/>
            <w:vAlign w:val="center"/>
          </w:tcPr>
          <w:p>
            <w:pPr>
              <w:jc w:val="both"/>
              <w:rPr>
                <w:rFonts w:hint="eastAsia" w:ascii="微软雅黑" w:hAnsi="微软雅黑" w:eastAsia="微软雅黑" w:cs="微软雅黑"/>
                <w:i w:val="0"/>
                <w:caps w:val="0"/>
                <w:color w:val="000000"/>
                <w:spacing w:val="0"/>
                <w:sz w:val="19"/>
                <w:szCs w:val="19"/>
              </w:rPr>
            </w:pPr>
          </w:p>
        </w:tc>
        <w:tc>
          <w:tcPr>
            <w:tcW w:w="4170" w:type="dxa"/>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rPr>
              <w:t>园艺学与植物营养学（Horticulture and plant nutrition）</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jc w:val="center"/>
        </w:trPr>
        <w:tc>
          <w:tcPr>
            <w:tcW w:w="2010" w:type="dxa"/>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center"/>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rPr>
              <w:t>C16</w:t>
            </w:r>
          </w:p>
        </w:tc>
        <w:tc>
          <w:tcPr>
            <w:tcW w:w="1695" w:type="dxa"/>
            <w:vMerge w:val="continue"/>
            <w:shd w:val="clear" w:color="auto" w:fill="FFFFFF"/>
            <w:vAlign w:val="center"/>
          </w:tcPr>
          <w:p>
            <w:pPr>
              <w:jc w:val="both"/>
              <w:rPr>
                <w:rFonts w:hint="eastAsia" w:ascii="微软雅黑" w:hAnsi="微软雅黑" w:eastAsia="微软雅黑" w:cs="微软雅黑"/>
                <w:i w:val="0"/>
                <w:caps w:val="0"/>
                <w:color w:val="000000"/>
                <w:spacing w:val="0"/>
                <w:sz w:val="19"/>
                <w:szCs w:val="19"/>
              </w:rPr>
            </w:pPr>
          </w:p>
        </w:tc>
        <w:tc>
          <w:tcPr>
            <w:tcW w:w="4170" w:type="dxa"/>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rPr>
              <w:t>林学（Forest science）</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2.医学领域：</w:t>
      </w:r>
    </w:p>
    <w:tbl>
      <w:tblPr>
        <w:tblW w:w="0" w:type="auto"/>
        <w:jc w:val="center"/>
        <w:tblCellSpacing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Layout w:type="autofit"/>
        <w:tblCellMar>
          <w:top w:w="0" w:type="dxa"/>
          <w:left w:w="0" w:type="dxa"/>
          <w:bottom w:w="0" w:type="dxa"/>
          <w:right w:w="0" w:type="dxa"/>
        </w:tblCellMar>
      </w:tblPr>
      <w:tblGrid>
        <w:gridCol w:w="2010"/>
        <w:gridCol w:w="5865"/>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jc w:val="center"/>
        </w:trPr>
        <w:tc>
          <w:tcPr>
            <w:tcW w:w="2010" w:type="dxa"/>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both"/>
              <w:rPr>
                <w:rFonts w:hint="eastAsia" w:ascii="微软雅黑" w:hAnsi="微软雅黑" w:eastAsia="微软雅黑" w:cs="微软雅黑"/>
              </w:rPr>
            </w:pPr>
            <w:r>
              <w:rPr>
                <w:rFonts w:hint="eastAsia" w:ascii="微软雅黑" w:hAnsi="微软雅黑" w:eastAsia="微软雅黑" w:cs="微软雅黑"/>
                <w:b/>
                <w:i w:val="0"/>
                <w:caps w:val="0"/>
                <w:color w:val="000000"/>
                <w:spacing w:val="0"/>
                <w:sz w:val="19"/>
                <w:szCs w:val="19"/>
                <w:bdr w:val="none" w:color="auto" w:sz="0" w:space="0"/>
              </w:rPr>
              <w:t>申请代码</w:t>
            </w:r>
          </w:p>
        </w:tc>
        <w:tc>
          <w:tcPr>
            <w:tcW w:w="5865" w:type="dxa"/>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center"/>
              <w:rPr>
                <w:rFonts w:hint="eastAsia" w:ascii="微软雅黑" w:hAnsi="微软雅黑" w:eastAsia="微软雅黑" w:cs="微软雅黑"/>
              </w:rPr>
            </w:pPr>
            <w:r>
              <w:rPr>
                <w:rFonts w:hint="eastAsia" w:ascii="微软雅黑" w:hAnsi="微软雅黑" w:eastAsia="微软雅黑" w:cs="微软雅黑"/>
                <w:b/>
                <w:i w:val="0"/>
                <w:caps w:val="0"/>
                <w:color w:val="000000"/>
                <w:spacing w:val="0"/>
                <w:sz w:val="19"/>
                <w:szCs w:val="19"/>
                <w:bdr w:val="none" w:color="auto" w:sz="0" w:space="0"/>
              </w:rPr>
              <w:t>具体方向</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FFFFFF"/>
          <w:tblCellMar>
            <w:top w:w="0" w:type="dxa"/>
            <w:left w:w="0" w:type="dxa"/>
            <w:bottom w:w="0" w:type="dxa"/>
            <w:right w:w="0" w:type="dxa"/>
          </w:tblCellMar>
        </w:tblPrEx>
        <w:trPr>
          <w:tblCellSpacing w:w="0" w:type="dxa"/>
          <w:jc w:val="center"/>
        </w:trPr>
        <w:tc>
          <w:tcPr>
            <w:tcW w:w="2010" w:type="dxa"/>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center"/>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rPr>
              <w:t>H09</w:t>
            </w:r>
          </w:p>
        </w:tc>
        <w:tc>
          <w:tcPr>
            <w:tcW w:w="5865" w:type="dxa"/>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rPr>
              <w:t>神经退行性疾病（Neurodegenerative diseases）</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jc w:val="center"/>
        </w:trPr>
        <w:tc>
          <w:tcPr>
            <w:tcW w:w="2010" w:type="dxa"/>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center"/>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rPr>
              <w:t>H16</w:t>
            </w:r>
          </w:p>
        </w:tc>
        <w:tc>
          <w:tcPr>
            <w:tcW w:w="5865" w:type="dxa"/>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rPr>
              <w:t>癌症（Cancer）</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jc w:val="center"/>
        </w:trPr>
        <w:tc>
          <w:tcPr>
            <w:tcW w:w="2010" w:type="dxa"/>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center"/>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rPr>
              <w:t>H02</w:t>
            </w:r>
          </w:p>
        </w:tc>
        <w:tc>
          <w:tcPr>
            <w:tcW w:w="5865" w:type="dxa"/>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rPr>
              <w:t>心血管疾病（Cardiovascular diseases）</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jc w:val="center"/>
        </w:trPr>
        <w:tc>
          <w:tcPr>
            <w:tcW w:w="2010" w:type="dxa"/>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center"/>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rPr>
              <w:t>H10</w:t>
            </w:r>
          </w:p>
        </w:tc>
        <w:tc>
          <w:tcPr>
            <w:tcW w:w="5865" w:type="dxa"/>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rPr>
              <w:t>感染与免疫（Infection and immunity）</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jc w:val="center"/>
        </w:trPr>
        <w:tc>
          <w:tcPr>
            <w:tcW w:w="2010" w:type="dxa"/>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center"/>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rPr>
              <w:t>H30或H31</w:t>
            </w:r>
          </w:p>
        </w:tc>
        <w:tc>
          <w:tcPr>
            <w:tcW w:w="5865" w:type="dxa"/>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rPr>
              <w:t>药物与药理学（Materia medica and pharmacology）</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0" w:type="dxa"/>
            <w:left w:w="0" w:type="dxa"/>
            <w:bottom w:w="0" w:type="dxa"/>
            <w:right w:w="0" w:type="dxa"/>
          </w:tblCellMar>
        </w:tblPrEx>
        <w:trPr>
          <w:tblCellSpacing w:w="0" w:type="dxa"/>
          <w:jc w:val="center"/>
        </w:trPr>
        <w:tc>
          <w:tcPr>
            <w:tcW w:w="2010" w:type="dxa"/>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center"/>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rPr>
              <w:t>H08</w:t>
            </w:r>
          </w:p>
        </w:tc>
        <w:tc>
          <w:tcPr>
            <w:tcW w:w="5865" w:type="dxa"/>
            <w:shd w:val="clear" w:color="auto" w:fill="FFFFFF"/>
            <w:vAlign w:val="top"/>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90" w:lineRule="atLeast"/>
              <w:jc w:val="both"/>
              <w:rPr>
                <w:rFonts w:hint="eastAsia" w:ascii="微软雅黑" w:hAnsi="微软雅黑" w:eastAsia="微软雅黑" w:cs="微软雅黑"/>
              </w:rPr>
            </w:pPr>
            <w:r>
              <w:rPr>
                <w:rFonts w:hint="eastAsia" w:ascii="微软雅黑" w:hAnsi="微软雅黑" w:eastAsia="微软雅黑" w:cs="微软雅黑"/>
                <w:i w:val="0"/>
                <w:caps w:val="0"/>
                <w:color w:val="000000"/>
                <w:spacing w:val="0"/>
                <w:sz w:val="19"/>
                <w:szCs w:val="19"/>
                <w:bdr w:val="none" w:color="auto" w:sz="0" w:space="0"/>
              </w:rPr>
              <w:t>造血与血液系统疾病（Hematopoiesis and blood diseases）</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（二）申请代码。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中方申请人须选择上述生命科学部或医学科学部代码作为申请代码1填写中文申请书，请尽量要填写到最后一级。</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（三）资助规模。资助规模35项左右。</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（四）资助强度。中方每个项目提供200万元人民币直接费用的经费资助</w:t>
      </w:r>
      <w:r>
        <w:rPr>
          <w:rFonts w:hint="eastAsia" w:ascii="微软雅黑" w:hAnsi="微软雅黑" w:eastAsia="微软雅黑" w:cs="微软雅黑"/>
          <w:b/>
          <w:i w:val="0"/>
          <w:caps w:val="0"/>
          <w:color w:val="000000"/>
          <w:spacing w:val="0"/>
          <w:sz w:val="19"/>
          <w:szCs w:val="19"/>
          <w:bdr w:val="none" w:color="auto" w:sz="0" w:space="0"/>
          <w:shd w:val="clear" w:fill="FFFFFF"/>
        </w:rPr>
        <w:t>（请注意：直接费用大于200万元的申请将不予受理）</w:t>
      </w:r>
      <w:r>
        <w:rPr>
          <w:rFonts w:hint="eastAsia" w:ascii="微软雅黑" w:hAnsi="微软雅黑" w:eastAsia="微软雅黑" w:cs="微软雅黑"/>
          <w:i w:val="0"/>
          <w:caps w:val="0"/>
          <w:color w:val="000000"/>
          <w:spacing w:val="0"/>
          <w:sz w:val="19"/>
          <w:szCs w:val="19"/>
          <w:bdr w:val="none" w:color="auto" w:sz="0" w:space="0"/>
          <w:shd w:val="clear" w:fill="FFFFFF"/>
        </w:rPr>
        <w:t>，其中包括研究经费和合作交流经费等。ISF向以方科学家提供对等的资助经费。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（五）申报要求。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1.资助期限为3年，申请书中的研究期限应填写2020年10月1日—2023年9月30日。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2.国内合作研究单位数量不得超过2个。</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3.中以双方申请人须分别向NSFC和ISF递交项目申请。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4.项目申请应体现强强联合和优势互补。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二、申请条件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申请人应当具备以下条件。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（一）具有高级专业技术职务（职称）。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（二）作为项目负责人，正在承担或承担过3年期及以上国家自然科学基金项目。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（三）与国外（地区）合作者具有良好的合作基础。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（四）关于申请资格的详细说明请见《2019年度国家自然科学基金项目指南》。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三、限项申请规定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国家自然科学基金国际（地区）合作研究项目包括组织间国际（地区）合作研究项目（以下简称组织间合作研究项目）和重点国际（地区）合作研究项目。该合作研究项目属于组织间合作研究项目，申请人申请时须遵循以下限项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（一）申请人同年只能申请1项国际（地区）合作研究项目。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（二）正在承担国际（地区）合作研究项目的负责人，不得作为申请人申请本指南所列合作研究项目。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（三）作为项目申请人申请和作为负责人承担本项目，不计入高级专业技术职务（职称）人员申请和承担项目总数限3项的查重范围。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（四）《2019年度国家自然科学基金项目指南》中关于申请数量的其他限制。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四、申请注意事项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自2020年开始，NSFC与ISF将对受理项目组织联合评审，通讯评审由其中一方组织完成，会议评审由双方共同完成。2020年，将首先由ISF依据其接受的以方申请人提交的英文版申请书组织国际通讯评议，NSFC 本年不再进行通讯评议。但中方申请人仍需按照项目指南在ISIS系统中提交中文申请书及相关材料，并进行形式审查。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（一）申请人注意事项。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合作研究项目申请书采取在线方式撰写，对申请人具体要求如下：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1.申请人在填报申请书前，应当认真阅读本项目指南和《2019年度国家自然科学基金项目指南》中的相关内容，</w:t>
      </w:r>
      <w:r>
        <w:rPr>
          <w:rFonts w:hint="eastAsia" w:ascii="微软雅黑" w:hAnsi="微软雅黑" w:eastAsia="微软雅黑" w:cs="微软雅黑"/>
          <w:b/>
          <w:i w:val="0"/>
          <w:caps w:val="0"/>
          <w:color w:val="000000"/>
          <w:spacing w:val="0"/>
          <w:sz w:val="19"/>
          <w:szCs w:val="19"/>
          <w:bdr w:val="none" w:color="auto" w:sz="0" w:space="0"/>
          <w:shd w:val="clear" w:fill="FFFFFF"/>
        </w:rPr>
        <w:t>不符合项目指南和相关要求的项目申请不予受理</w:t>
      </w:r>
      <w:r>
        <w:rPr>
          <w:rFonts w:hint="eastAsia" w:ascii="微软雅黑" w:hAnsi="微软雅黑" w:eastAsia="微软雅黑" w:cs="微软雅黑"/>
          <w:i w:val="0"/>
          <w:caps w:val="0"/>
          <w:color w:val="000000"/>
          <w:spacing w:val="0"/>
          <w:sz w:val="19"/>
          <w:szCs w:val="19"/>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申请书撰写要点可参考《国家自然科学基金国际（地区）合作研究项目管理办法》http://www.nsfc.gov.cn/publish/portal0/tab475/info70247.htm</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2.申请人登录科学基金网络信息系统（https://isisn.nsfc.gov.cn/），按照撰写提纲及相关要求撰写《国家自然科学基金国际（地区）合作与交流项目申请书》（以下简称“中文申请书”）。具体步骤是：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（1）选择“项目负责人”用户组登录系统，进入后点击“在线申请”进入申请界面，点击“新增项目申请”按钮进入项目类别选择界面。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（2）点击“国际（地区）合作与交流项目”左侧+号或者右侧“展开”按钮，展开下拉菜单。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3）点击“组织间合作研究（组织间合作协议项目）”右侧的“填写申请”，进入选择“合作协议”界面，在下拉菜单中选择“NSFC-ISF（中以）”，然后按系统要求输入要依托的基金项目批准号，通过资格认证后即进入具体申请书填写界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3. 中方申请人除了在线填写提交中文申请书以外，还须同时以附件形式提交以方合作者向ISF提交的英文申请书的副本。</w:t>
      </w:r>
      <w:r>
        <w:rPr>
          <w:rFonts w:hint="eastAsia" w:ascii="微软雅黑" w:hAnsi="微软雅黑" w:eastAsia="微软雅黑" w:cs="微软雅黑"/>
          <w:b/>
          <w:i w:val="0"/>
          <w:caps w:val="0"/>
          <w:color w:val="000000"/>
          <w:spacing w:val="0"/>
          <w:sz w:val="19"/>
          <w:szCs w:val="19"/>
          <w:bdr w:val="none" w:color="auto" w:sz="0" w:space="0"/>
          <w:shd w:val="clear" w:fill="FFFFFF"/>
        </w:rPr>
        <w:t>无此英文申请书副本的，将不予受理。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中方申请人和以方合作者要充分沟通协商，在此基础上共同填写ISF要求以方合作者提交的英文申请书。中方申请人需与以方合作者联系，取得其向ISF最终提交的英文申请书副本，上传添加至中文申请书的“附件”栏中与中文申请书一同提交。以方申请流程请参考NSFC-ISF合作研究项目以方英文指南（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为确保中方申请人向NSFC提交的中文申请书与以方合作者向ISF提交的英文申请书内容一致，ISF在以方在线申请系统里设计了如下程序，请中方申请人届时务必予以配合：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（1）以方申请人在线填写好英文申请书后，将把申请书“锁定”，生成PDF文件。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（2）在以方申请人提交生成的PDF文件之前会出现一个对话框按钮（Button）提示“发送给中方申请人批准”，然后以电子邮件（含有说明和链接）形式自动发送给中方申请人。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（3）中方申请人点击该链接即可下载以方合作者填写英文申请书的PDF文件，阅读后如认同其与双方协商内容一致，即可点击检查（Check）按钮，系统将自动发送电子邮件给以方合作者告知中方申请人已经确认。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（4）中方申请人确认（点击Check）双方中英文申请书的一致性对于以方合作者向ISF提交申请是必要条件，如没有获得中方申请人的确认，以方申请人将无法提交申请，后续通讯评议将无法进行。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4. 组织间合作研究项目实行定额补助的资助方式。申请人应当认真阅读《2019年度国家自然科学基金项目指南》申请须知中预算编报要求的内容，严格按照《国家自然科学基金资助项目资金管理办法》《关于国家自然科学基金资助项目资金管理有关问题的补充通知》（财科教〔2016〕19号）、《国家自然科学基金委员会、财政部关于进一步完善科学基金项目和资金管理的通知》（国科金发财〔2019〕31号）以及《国家自然科学基金项目资金预算表编制说明》的要求，认真如实编报《国家自然科学基金项目资金预算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5.申请材料要求。申请人完成申请书撰写后，在线提交电子申请书及附件材料，下载并打印最终PDF版本申请书，向依托单位提交签字后的纸质申请书原件。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附件材料包括：</w:t>
      </w:r>
      <w:r>
        <w:rPr>
          <w:rFonts w:hint="eastAsia" w:ascii="微软雅黑" w:hAnsi="微软雅黑" w:eastAsia="微软雅黑" w:cs="微软雅黑"/>
          <w:b/>
          <w:i w:val="0"/>
          <w:caps w:val="0"/>
          <w:color w:val="000000"/>
          <w:spacing w:val="0"/>
          <w:sz w:val="19"/>
          <w:szCs w:val="19"/>
          <w:bdr w:val="none" w:color="auto" w:sz="0" w:space="0"/>
          <w:shd w:val="clear" w:fill="FFFFFF"/>
        </w:rPr>
        <w:t>以方合作者向ISF提交的英文申请书副本</w:t>
      </w:r>
      <w:r>
        <w:rPr>
          <w:rFonts w:hint="eastAsia" w:ascii="微软雅黑" w:hAnsi="微软雅黑" w:eastAsia="微软雅黑" w:cs="微软雅黑"/>
          <w:i w:val="0"/>
          <w:caps w:val="0"/>
          <w:color w:val="000000"/>
          <w:spacing w:val="0"/>
          <w:sz w:val="19"/>
          <w:szCs w:val="19"/>
          <w:bdr w:val="none" w:color="auto" w:sz="0" w:space="0"/>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6. 申请人应保证纸质申请书与电子版版本号的一致。中文申请书填写的本合作研究项目英文名称须与外方合作者提交的英文项目名称完全一致。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（二）依托单位注意事项。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依托单位应对本单位申请人所提交申请材料的真实性、完整性和合规性进行审核；对申请人申报预算的目标相关性、政策相符性和经济合理性进行审核，并在规定时间内将申请材料报送自然科学基金委。</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（三）项目申请接收。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1.ISIS系统在线申报接收期为2020年1月2日至2020年1月17日下午16时，应在规定的项目申请截止日期前提交本单位电子版申请书及附件材料。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2.纸质申请书接收日期为2020年1月13日2020年至1月17日。经单位签字盖章后的纸质申请书原件（一式一份）及要求报送的纸质附件材料可直接送达或邮寄至自然科学基金委项目材料接收工作组。采用邮寄方式的，请在项目申请截止时间前（以发信邮戳日期为准）以快递方式邮寄，以免延误申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3.国家自然科学基金委员会项目材料接收工作组联系方式。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通讯地址：北京市海淀区双清路83号自然科学基金委项目材料接收工作组（行政楼101房间）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邮编：100085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联系电话：010-62328591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五、项目联系人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联系人：张乐君 孙姝娜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电　话：010-62327780，62325454</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传　真：010-62327004</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　　Email:  zhanglejun@nsfc.gov.cn</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微软雅黑" w:hAnsi="微软雅黑" w:eastAsia="微软雅黑" w:cs="微软雅黑"/>
          <w:i w:val="0"/>
          <w:caps w:val="0"/>
          <w:color w:val="000000"/>
          <w:spacing w:val="0"/>
          <w:sz w:val="19"/>
          <w:szCs w:val="19"/>
          <w:bdr w:val="none" w:color="auto" w:sz="0" w:space="0"/>
          <w:shd w:val="clear" w:fill="FFFFFF"/>
        </w:rPr>
      </w:pPr>
      <w:r>
        <w:rPr>
          <w:rFonts w:hint="eastAsia" w:ascii="微软雅黑" w:hAnsi="微软雅黑" w:eastAsia="微软雅黑" w:cs="微软雅黑"/>
          <w:i w:val="0"/>
          <w:caps w:val="0"/>
          <w:color w:val="000000"/>
          <w:spacing w:val="0"/>
          <w:sz w:val="19"/>
          <w:szCs w:val="19"/>
          <w:bdr w:val="none" w:color="auto" w:sz="0" w:space="0"/>
          <w:shd w:val="clear" w:fill="FFFFFF"/>
        </w:rPr>
        <w:t>　　　　　　</w:t>
      </w:r>
      <w:r>
        <w:rPr>
          <w:rFonts w:hint="eastAsia" w:ascii="微软雅黑" w:hAnsi="微软雅黑" w:eastAsia="微软雅黑" w:cs="微软雅黑"/>
          <w:i w:val="0"/>
          <w:caps w:val="0"/>
          <w:color w:val="000000"/>
          <w:spacing w:val="0"/>
          <w:sz w:val="19"/>
          <w:szCs w:val="19"/>
          <w:bdr w:val="none" w:color="auto" w:sz="0" w:space="0"/>
          <w:shd w:val="clear" w:fill="FFFFFF"/>
        </w:rPr>
        <w:fldChar w:fldCharType="begin"/>
      </w:r>
      <w:r>
        <w:rPr>
          <w:rFonts w:hint="eastAsia" w:ascii="微软雅黑" w:hAnsi="微软雅黑" w:eastAsia="微软雅黑" w:cs="微软雅黑"/>
          <w:i w:val="0"/>
          <w:caps w:val="0"/>
          <w:color w:val="000000"/>
          <w:spacing w:val="0"/>
          <w:sz w:val="19"/>
          <w:szCs w:val="19"/>
          <w:bdr w:val="none" w:color="auto" w:sz="0" w:space="0"/>
          <w:shd w:val="clear" w:fill="FFFFFF"/>
        </w:rPr>
        <w:instrText xml:space="preserve"> HYPERLINK "mailto:sunsn@nsfc.gov.cn" </w:instrText>
      </w:r>
      <w:r>
        <w:rPr>
          <w:rFonts w:hint="eastAsia" w:ascii="微软雅黑" w:hAnsi="微软雅黑" w:eastAsia="微软雅黑" w:cs="微软雅黑"/>
          <w:i w:val="0"/>
          <w:caps w:val="0"/>
          <w:color w:val="000000"/>
          <w:spacing w:val="0"/>
          <w:sz w:val="19"/>
          <w:szCs w:val="19"/>
          <w:bdr w:val="none" w:color="auto" w:sz="0" w:space="0"/>
          <w:shd w:val="clear" w:fill="FFFFFF"/>
        </w:rPr>
        <w:fldChar w:fldCharType="separate"/>
      </w:r>
      <w:r>
        <w:rPr>
          <w:rStyle w:val="6"/>
          <w:rFonts w:hint="eastAsia" w:ascii="微软雅黑" w:hAnsi="微软雅黑" w:eastAsia="微软雅黑" w:cs="微软雅黑"/>
          <w:i w:val="0"/>
          <w:caps w:val="0"/>
          <w:spacing w:val="0"/>
          <w:sz w:val="19"/>
          <w:szCs w:val="19"/>
          <w:bdr w:val="none" w:color="auto" w:sz="0" w:space="0"/>
          <w:shd w:val="clear" w:fill="FFFFFF"/>
        </w:rPr>
        <w:t>sunsn@nsfc.gov.cn</w:t>
      </w:r>
      <w:r>
        <w:rPr>
          <w:rFonts w:hint="eastAsia" w:ascii="微软雅黑" w:hAnsi="微软雅黑" w:eastAsia="微软雅黑" w:cs="微软雅黑"/>
          <w:i w:val="0"/>
          <w:caps w:val="0"/>
          <w:color w:val="000000"/>
          <w:spacing w:val="0"/>
          <w:sz w:val="19"/>
          <w:szCs w:val="19"/>
          <w:bdr w:val="none" w:color="auto" w:sz="0" w:space="0"/>
          <w:shd w:val="clear" w:fill="FFFFFF"/>
        </w:rPr>
        <w:fldChar w:fldCharType="end"/>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微软雅黑" w:hAnsi="微软雅黑" w:eastAsia="微软雅黑" w:cs="微软雅黑"/>
          <w:i w:val="0"/>
          <w:caps w:val="0"/>
          <w:color w:val="000000"/>
          <w:spacing w:val="0"/>
          <w:sz w:val="19"/>
          <w:szCs w:val="19"/>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right"/>
        <w:rPr>
          <w:rFonts w:hint="eastAsia" w:ascii="微软雅黑" w:hAnsi="微软雅黑" w:eastAsia="微软雅黑" w:cs="微软雅黑"/>
          <w:i w:val="0"/>
          <w:caps w:val="0"/>
          <w:color w:val="000000"/>
          <w:spacing w:val="0"/>
          <w:sz w:val="19"/>
          <w:szCs w:val="19"/>
        </w:rPr>
      </w:pPr>
      <w:r>
        <w:rPr>
          <w:rFonts w:hint="eastAsia" w:ascii="微软雅黑" w:hAnsi="微软雅黑" w:eastAsia="微软雅黑" w:cs="微软雅黑"/>
          <w:i w:val="0"/>
          <w:caps w:val="0"/>
          <w:color w:val="000000"/>
          <w:spacing w:val="0"/>
          <w:sz w:val="19"/>
          <w:szCs w:val="19"/>
          <w:bdr w:val="none" w:color="auto" w:sz="0" w:space="0"/>
          <w:shd w:val="clear" w:fill="FFFFFF"/>
        </w:rPr>
        <w:t>国家自然科学基金委员会国际合作局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150" w:afterAutospacing="0" w:line="390" w:lineRule="atLeast"/>
        <w:ind w:left="0" w:firstLine="0"/>
        <w:jc w:val="right"/>
        <w:rPr>
          <w:rFonts w:hint="default" w:ascii="微软雅黑" w:hAnsi="微软雅黑" w:eastAsia="微软雅黑" w:cs="微软雅黑"/>
          <w:i w:val="0"/>
          <w:caps w:val="0"/>
          <w:color w:val="000000"/>
          <w:spacing w:val="0"/>
          <w:sz w:val="19"/>
          <w:szCs w:val="19"/>
          <w:lang w:val="en-US" w:eastAsia="zh-CN"/>
        </w:rPr>
      </w:pPr>
      <w:r>
        <w:rPr>
          <w:rFonts w:hint="eastAsia" w:ascii="微软雅黑" w:hAnsi="微软雅黑" w:eastAsia="微软雅黑" w:cs="微软雅黑"/>
          <w:i w:val="0"/>
          <w:caps w:val="0"/>
          <w:color w:val="000000"/>
          <w:spacing w:val="0"/>
          <w:sz w:val="19"/>
          <w:szCs w:val="19"/>
          <w:bdr w:val="none" w:color="auto" w:sz="0" w:space="0"/>
          <w:shd w:val="clear" w:fill="FFFFFF"/>
        </w:rPr>
        <w:t>2019年11月18日</w:t>
      </w:r>
      <w:r>
        <w:rPr>
          <w:rFonts w:hint="eastAsia" w:ascii="微软雅黑" w:hAnsi="微软雅黑" w:eastAsia="微软雅黑" w:cs="微软雅黑"/>
          <w:i w:val="0"/>
          <w:caps w:val="0"/>
          <w:color w:val="000000"/>
          <w:spacing w:val="0"/>
          <w:sz w:val="19"/>
          <w:szCs w:val="19"/>
          <w:bdr w:val="none" w:color="auto" w:sz="0" w:space="0"/>
          <w:shd w:val="clear" w:fill="FFFFFF"/>
          <w:lang w:val="en-US" w:eastAsia="zh-CN"/>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390" w:lineRule="atLeast"/>
        <w:ind w:left="0" w:firstLine="0"/>
        <w:jc w:val="both"/>
        <w:rPr>
          <w:rFonts w:hint="eastAsia" w:ascii="微软雅黑" w:hAnsi="微软雅黑" w:eastAsia="微软雅黑" w:cs="微软雅黑"/>
          <w:i w:val="0"/>
          <w:caps w:val="0"/>
          <w:color w:val="000000"/>
          <w:spacing w:val="0"/>
          <w:sz w:val="19"/>
          <w:szCs w:val="19"/>
          <w:bdr w:val="none" w:color="auto" w:sz="0" w:space="0"/>
          <w:shd w:val="clear" w:fill="FFFFFF"/>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FD1A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2019-11-20T00:26:23Z</dcterms:created>
  <dc:creator>Administrator</dc:creator>
  <cp:lastModifiedBy>Chris   Yan</cp:lastModifiedBy>
  <dcterms:modified xsi:type="dcterms:W3CDTF">2019-11-20T00:27:44Z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