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400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2020年兰州大学第二医院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肾病内科血液透析中心血液净化技术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培训招生简章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400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 xml:space="preserve"> （2020-2021市、县级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血液净化医护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业务培训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1.2.3.4.5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0" w:beforeAutospacing="0" w:after="20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落实甘肃省卫健委分级诊疗制度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对口支援贫困县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基层学科建设项目实施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，实现“大病不出县”的目标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兰州大学第二医院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肾病内科血液透析中心（全国县级医院血液净化培训基地，甘肃省医疗卫生重点专业-甲等-血液净化专业）开展的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血液净化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技术培训班招生工作现已开始。现定于2020年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26日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-2020年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6日起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血液净化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技术培训班，每期一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eastAsia="zh-CN"/>
          <w14:textFill>
            <w14:solidFill>
              <w14:schemeClr w14:val="tx1"/>
            </w14:solidFill>
          </w14:textFill>
        </w:rPr>
        <w:t>预计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:lang w:val="en-US" w:eastAsia="zh-CN"/>
          <w14:textFill>
            <w14:solidFill>
              <w14:schemeClr w14:val="tx1"/>
            </w14:solidFill>
          </w14:textFill>
        </w:rPr>
        <w:t>5期，每期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DFDFD"/>
          <w14:textFill>
            <w14:solidFill>
              <w14:schemeClr w14:val="tx1"/>
            </w14:solidFill>
          </w14:textFill>
        </w:rPr>
        <w:t>6—8人。现将招生培训等具体事宜通知如下：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一、培训对象    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血液净化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师及护理人员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二、培训方式     全脱产集中培训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三、培训时间    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第一期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26日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--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1日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血管通路建立及维护培训班</w:t>
      </w:r>
    </w:p>
    <w:p>
      <w:pPr>
        <w:rPr>
          <w:rFonts w:hint="default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第二期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9日---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15日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腹膜透析置管术及维护培训班</w:t>
      </w:r>
    </w:p>
    <w:p>
      <w:pPr>
        <w:rPr>
          <w:rFonts w:hint="default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第三期期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23日---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29日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血液净化护理规范操作培训班</w:t>
      </w:r>
    </w:p>
    <w:p>
      <w:pPr>
        <w:rPr>
          <w:rFonts w:hint="default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第四期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30日---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6日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血液净化质控、感控管理培训班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第五期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14日---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20日</w:t>
      </w:r>
    </w:p>
    <w:p>
      <w:pPr>
        <w:rPr>
          <w:rFonts w:hint="default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血液净化信息管理及科研基础培训班</w:t>
      </w:r>
    </w:p>
    <w:p>
      <w:pPr>
        <w:rPr>
          <w:rFonts w:hint="default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四、培训内容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理论学习：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血液净化技术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知识讲座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血液净化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技术训练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（1）模拟训练：录像讲解、模拟操作训练；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（2）观摩临床实践：指导老师带教观摩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动静脉内瘘手术、置管等手术操作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、讲解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，透析设备观摩、血液净化规范化操作技能（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血液透析上下机操作，各种透析模式操作，深静脉导管，动静脉内瘘穿刺，B超在血管通路中的应用，透析设备的监测、维护及保养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）；</w:t>
      </w:r>
    </w:p>
    <w:p>
      <w:pPr>
        <w:rPr>
          <w:rFonts w:hint="eastAsia" w:eastAsia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（3）科研论文写作培训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五、培训说明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采用理论与实践相结合的教学方式，根据不同阶段的学习要求分别进入相应的培训阶段(理论教学阶段、模拟训练阶段、临床教学阶段)，由专人负责带教。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六、考核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1.考核方式：由指导老师对学员进行考核，考核分笔试及操作两部分，合格后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发放培训证书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2.培训期满后与学员保持联系，长期提供学术和技术交流与支持。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七、学员资质要求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培训班面向全省市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及县级医院血液净化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单位招生，医联体成员单位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、贫困县级医院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优先，原则上每个市、县选一名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医生和一名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护士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参加，从事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血液净化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临床工作的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护人员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均可报名参加。  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八、培训地点及费用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1.培训地点：兰州大学第二医院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血液透析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中心(综合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号楼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楼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2.本次培训费用免费，培训期间住宿和餐费由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兰大二院肾病内科血液透析中心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承担。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九、报名方法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1.请登陆“兰州大学第二医院网站” 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"http://www.gynjjd.com/" </w:instrTex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http://www.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ldey.cn 下载“兰州大学第二医院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血液透析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中心学员登记表”（详见附件）。准确填写个人信息（注意填写联系电话），确保内容属实，将填写完毕的电子版报名登记表发至培训基地联系人邮箱。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2.通过基地审核且确定学员名单后，由本基地工作人员负责电话通知本人，请务必保持个人联系电话畅通，相关事项如下：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（1）请学员携带身份证原件及复印件、学历资质原件及复印件，1寸彩照3张（红色底）；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（2）请学员带齐生活日用品、换洗衣物。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3.培训期间不得无故请假。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十、报到地点及联系方式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报到及培训地点：兰州大学第二医院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血液透析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血透二区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(综合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号楼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楼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电话：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何艳萍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13669333082   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王晓玲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13919995365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"mailto:1509897671@qq.com" </w:instrTex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1509897671</w:t>
      </w:r>
      <w:r>
        <w:rPr>
          <w:rStyle w:val="11"/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@qq.com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兰州大学第二医院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血液透析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中心学员登记表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（见下页）</w:t>
      </w:r>
    </w:p>
    <w:p>
      <w:pP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1680" w:firstLineChars="600"/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兰州大学第二医院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血液透析</w:t>
      </w:r>
      <w:r>
        <w:rPr>
          <w:rFonts w:hint="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</w:t>
      </w: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2020年10月20</w:t>
      </w: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640" w:firstLineChars="13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1200" w:firstLineChars="400"/>
        <w:jc w:val="both"/>
        <w:rPr>
          <w:rFonts w:hint="eastAsia"/>
        </w:rPr>
      </w:pPr>
      <w:bookmarkStart w:id="0" w:name="_GoBack"/>
      <w:bookmarkEnd w:id="0"/>
      <w:r>
        <w:rPr>
          <w:rFonts w:hint="eastAsia"/>
          <w:sz w:val="30"/>
          <w:szCs w:val="30"/>
        </w:rPr>
        <w:t>兰州大学第二医院</w:t>
      </w:r>
      <w:r>
        <w:rPr>
          <w:rFonts w:hint="eastAsia"/>
          <w:sz w:val="30"/>
          <w:szCs w:val="30"/>
          <w:lang w:eastAsia="zh-CN"/>
        </w:rPr>
        <w:t>血液透析</w:t>
      </w:r>
      <w:r>
        <w:rPr>
          <w:rFonts w:hint="eastAsia"/>
          <w:sz w:val="30"/>
          <w:szCs w:val="30"/>
        </w:rPr>
        <w:t>中心</w:t>
      </w:r>
      <w:r>
        <w:rPr>
          <w:rFonts w:hint="eastAsia"/>
          <w:sz w:val="30"/>
          <w:szCs w:val="30"/>
          <w:lang w:val="en-US" w:eastAsia="zh-CN"/>
        </w:rPr>
        <w:t>培训</w:t>
      </w:r>
      <w:r>
        <w:rPr>
          <w:rFonts w:hint="eastAsia"/>
          <w:sz w:val="30"/>
          <w:szCs w:val="30"/>
        </w:rPr>
        <w:t>学员登记表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省      市       县</w:t>
      </w:r>
    </w:p>
    <w:tbl>
      <w:tblPr>
        <w:tblStyle w:val="8"/>
        <w:tblpPr w:leftFromText="180" w:rightFromText="180" w:vertAnchor="text" w:horzAnchor="page" w:tblpX="1822" w:tblpY="388"/>
        <w:tblOverlap w:val="never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59"/>
        <w:gridCol w:w="755"/>
        <w:gridCol w:w="928"/>
        <w:gridCol w:w="827"/>
        <w:gridCol w:w="1154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59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28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7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154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Merge w:val="restart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59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28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7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54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Merge w:val="continue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14" w:type="dxa"/>
            <w:gridSpan w:val="2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81" w:type="dxa"/>
            <w:gridSpan w:val="2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Merge w:val="continue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423" w:type="dxa"/>
            <w:gridSpan w:val="5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Merge w:val="continue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459" w:type="dxa"/>
            <w:gridSpan w:val="6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514" w:type="dxa"/>
            <w:gridSpan w:val="2"/>
            <w:vAlign w:val="top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top"/>
          </w:tcPr>
          <w:p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190" w:type="dxa"/>
            <w:gridSpan w:val="2"/>
            <w:vAlign w:val="top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514" w:type="dxa"/>
            <w:gridSpan w:val="2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3190" w:type="dxa"/>
            <w:gridSpan w:val="2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7459" w:type="dxa"/>
            <w:gridSpan w:val="6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top"/>
          </w:tcPr>
          <w:p>
            <w:pPr>
              <w:spacing w:line="480" w:lineRule="auto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参加第几期培训</w:t>
            </w:r>
          </w:p>
        </w:tc>
        <w:tc>
          <w:tcPr>
            <w:tcW w:w="7459" w:type="dxa"/>
            <w:gridSpan w:val="6"/>
          </w:tcPr>
          <w:p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0F6F9EB8-BAC6-4F53-AC41-F73DC863AF31}"/>
    <w:docVar w:name="KY_MEDREF_VERSION" w:val="3"/>
  </w:docVars>
  <w:rsids>
    <w:rsidRoot w:val="00000000"/>
    <w:rsid w:val="005378C7"/>
    <w:rsid w:val="03C73A89"/>
    <w:rsid w:val="0D543B38"/>
    <w:rsid w:val="0DD21C09"/>
    <w:rsid w:val="0E523FA4"/>
    <w:rsid w:val="10B30811"/>
    <w:rsid w:val="13551D2E"/>
    <w:rsid w:val="13C9713F"/>
    <w:rsid w:val="14C5166E"/>
    <w:rsid w:val="17522D02"/>
    <w:rsid w:val="17E60B35"/>
    <w:rsid w:val="1A03032A"/>
    <w:rsid w:val="1D0E1C59"/>
    <w:rsid w:val="1E902E27"/>
    <w:rsid w:val="2464272C"/>
    <w:rsid w:val="2D9923E0"/>
    <w:rsid w:val="37974FF1"/>
    <w:rsid w:val="3A337F64"/>
    <w:rsid w:val="3ACE23CD"/>
    <w:rsid w:val="3C5D1312"/>
    <w:rsid w:val="45C44877"/>
    <w:rsid w:val="46FA5BBF"/>
    <w:rsid w:val="48B9063F"/>
    <w:rsid w:val="4E1A52CD"/>
    <w:rsid w:val="4F3F06F8"/>
    <w:rsid w:val="4F7C7A62"/>
    <w:rsid w:val="4F883C25"/>
    <w:rsid w:val="4F9853C4"/>
    <w:rsid w:val="52134563"/>
    <w:rsid w:val="53532640"/>
    <w:rsid w:val="54392025"/>
    <w:rsid w:val="54597377"/>
    <w:rsid w:val="549715A9"/>
    <w:rsid w:val="5BE87CEC"/>
    <w:rsid w:val="5DE00A68"/>
    <w:rsid w:val="676F0CA3"/>
    <w:rsid w:val="6BCA5D6C"/>
    <w:rsid w:val="6CFD42B3"/>
    <w:rsid w:val="6DE337AB"/>
    <w:rsid w:val="772B104A"/>
    <w:rsid w:val="7ACD7222"/>
    <w:rsid w:val="7D774F05"/>
    <w:rsid w:val="7E69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2020-09-03T12:40:00Z</dcterms:created>
  <dc:creator>hp</dc:creator>
  <cp:lastModifiedBy>风中百合1414998680</cp:lastModifiedBy>
  <cp:lastPrinted>2020-10-19T10:54:00Z</cp:lastPrinted>
  <dcterms:modified xsi:type="dcterms:W3CDTF">2020-10-22T01:53:51Z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