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hint="eastAsia" w:ascii="微软雅黑" w:hAnsi="微软雅黑" w:eastAsia="微软雅黑" w:cs="Times New Roman"/>
          <w:b/>
          <w:sz w:val="32"/>
          <w:szCs w:val="32"/>
          <w:lang w:val="en-US" w:eastAsia="zh-CN"/>
        </w:rPr>
      </w:pPr>
      <w:r>
        <w:rPr>
          <w:rFonts w:hint="eastAsia" w:ascii="微软雅黑" w:hAnsi="微软雅黑" w:eastAsia="微软雅黑" w:cs="Times New Roman"/>
          <w:b/>
          <w:sz w:val="32"/>
          <w:szCs w:val="32"/>
          <w:lang w:eastAsia="zh-CN"/>
        </w:rPr>
        <w:t>消毒供应中心</w:t>
      </w:r>
      <w:r>
        <w:rPr>
          <w:rFonts w:hint="eastAsia" w:ascii="微软雅黑" w:hAnsi="微软雅黑" w:eastAsia="微软雅黑" w:cs="Times New Roman"/>
          <w:b/>
          <w:sz w:val="32"/>
          <w:szCs w:val="32"/>
        </w:rPr>
        <w:t>强生低温过氧化氢等离子灭菌</w:t>
      </w:r>
      <w:r>
        <w:rPr>
          <w:rFonts w:hint="eastAsia" w:ascii="微软雅黑" w:hAnsi="微软雅黑" w:eastAsia="微软雅黑" w:cs="Times New Roman"/>
          <w:b/>
          <w:sz w:val="32"/>
          <w:szCs w:val="32"/>
          <w:lang w:val="en-US" w:eastAsia="zh-CN"/>
        </w:rPr>
        <w:t>系统</w:t>
      </w:r>
    </w:p>
    <w:p>
      <w:pPr>
        <w:spacing w:line="360" w:lineRule="auto"/>
        <w:ind w:firstLine="3202" w:firstLineChars="1000"/>
        <w:rPr>
          <w:rFonts w:hint="eastAsia" w:ascii="微软雅黑" w:hAnsi="微软雅黑" w:eastAsia="微软雅黑" w:cs="Times New Roman"/>
          <w:b/>
          <w:sz w:val="32"/>
          <w:szCs w:val="32"/>
        </w:rPr>
      </w:pPr>
      <w:r>
        <w:rPr>
          <w:rFonts w:hint="eastAsia" w:ascii="微软雅黑" w:hAnsi="微软雅黑" w:eastAsia="微软雅黑" w:cs="Times New Roman"/>
          <w:b/>
          <w:sz w:val="32"/>
          <w:szCs w:val="32"/>
        </w:rPr>
        <w:t>维保技术参数</w:t>
      </w:r>
    </w:p>
    <w:p>
      <w:pPr>
        <w:spacing w:line="360" w:lineRule="auto"/>
      </w:pPr>
    </w:p>
    <w:p>
      <w:pPr>
        <w:pStyle w:val="9"/>
        <w:numPr>
          <w:ilvl w:val="0"/>
          <w:numId w:val="1"/>
        </w:numPr>
        <w:ind w:firstLineChars="0"/>
        <w:rPr>
          <w:rFonts w:ascii="宋体" w:hAnsi="宋体"/>
          <w:sz w:val="28"/>
          <w:szCs w:val="28"/>
        </w:rPr>
      </w:pPr>
      <w:r>
        <w:rPr>
          <w:rFonts w:ascii="宋体" w:hAnsi="宋体"/>
          <w:sz w:val="28"/>
          <w:szCs w:val="28"/>
        </w:rPr>
        <w:t>项目名称：</w:t>
      </w:r>
      <w:r>
        <w:rPr>
          <w:rFonts w:hint="eastAsia" w:ascii="宋体" w:hAnsi="宋体"/>
          <w:sz w:val="28"/>
          <w:szCs w:val="28"/>
        </w:rPr>
        <w:t>强生低温等离子灭菌</w:t>
      </w:r>
      <w:r>
        <w:rPr>
          <w:rFonts w:hint="eastAsia" w:ascii="宋体" w:hAnsi="宋体"/>
          <w:sz w:val="28"/>
          <w:szCs w:val="28"/>
          <w:lang w:val="en-US" w:eastAsia="zh-CN"/>
        </w:rPr>
        <w:t>器系统</w:t>
      </w:r>
      <w:r>
        <w:rPr>
          <w:rFonts w:hint="eastAsia" w:ascii="宋体" w:hAnsi="宋体"/>
          <w:sz w:val="28"/>
          <w:szCs w:val="28"/>
        </w:rPr>
        <w:t>维保</w:t>
      </w:r>
    </w:p>
    <w:tbl>
      <w:tblPr>
        <w:tblStyle w:val="4"/>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9"/>
        <w:gridCol w:w="2470"/>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9" w:type="dxa"/>
          </w:tcPr>
          <w:p>
            <w:pPr>
              <w:tabs>
                <w:tab w:val="center" w:pos="1389"/>
              </w:tabs>
              <w:spacing w:line="360" w:lineRule="auto"/>
              <w:jc w:val="center"/>
              <w:rPr>
                <w:rFonts w:ascii="宋体" w:hAnsi="宋体"/>
                <w:sz w:val="24"/>
              </w:rPr>
            </w:pPr>
            <w:r>
              <w:rPr>
                <w:rFonts w:hint="eastAsia" w:ascii="宋体" w:hAnsi="宋体"/>
                <w:sz w:val="24"/>
              </w:rPr>
              <w:t>名称</w:t>
            </w:r>
          </w:p>
        </w:tc>
        <w:tc>
          <w:tcPr>
            <w:tcW w:w="2470" w:type="dxa"/>
          </w:tcPr>
          <w:p>
            <w:pPr>
              <w:spacing w:line="360" w:lineRule="auto"/>
              <w:jc w:val="center"/>
              <w:rPr>
                <w:rFonts w:ascii="宋体" w:hAnsi="宋体"/>
                <w:sz w:val="24"/>
              </w:rPr>
            </w:pPr>
            <w:r>
              <w:rPr>
                <w:rFonts w:hint="eastAsia" w:ascii="宋体" w:hAnsi="宋体"/>
                <w:sz w:val="24"/>
              </w:rPr>
              <w:t>设备型号</w:t>
            </w:r>
          </w:p>
        </w:tc>
        <w:tc>
          <w:tcPr>
            <w:tcW w:w="2316" w:type="dxa"/>
          </w:tcPr>
          <w:p>
            <w:pPr>
              <w:spacing w:line="360" w:lineRule="auto"/>
              <w:rPr>
                <w:rFonts w:ascii="宋体" w:hAnsi="宋体"/>
                <w:sz w:val="24"/>
              </w:rPr>
            </w:pPr>
            <w:r>
              <w:rPr>
                <w:rFonts w:hint="eastAsia" w:ascii="宋体" w:hAnsi="宋体"/>
                <w:sz w:val="24"/>
              </w:rPr>
              <w:t>系统编号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69" w:type="dxa"/>
            <w:vMerge w:val="restart"/>
          </w:tcPr>
          <w:p>
            <w:pPr>
              <w:spacing w:line="360" w:lineRule="auto"/>
              <w:jc w:val="center"/>
              <w:rPr>
                <w:rFonts w:ascii="宋体" w:hAnsi="宋体"/>
                <w:sz w:val="24"/>
              </w:rPr>
            </w:pPr>
          </w:p>
          <w:p>
            <w:pPr>
              <w:spacing w:line="360" w:lineRule="auto"/>
              <w:jc w:val="center"/>
              <w:rPr>
                <w:rFonts w:hint="default" w:ascii="宋体" w:hAnsi="宋体" w:eastAsiaTheme="minorEastAsia"/>
                <w:sz w:val="24"/>
                <w:lang w:val="en-US" w:eastAsia="zh-CN"/>
              </w:rPr>
            </w:pPr>
            <w:r>
              <w:rPr>
                <w:rFonts w:hint="eastAsia" w:ascii="宋体" w:hAnsi="宋体"/>
                <w:sz w:val="28"/>
                <w:szCs w:val="28"/>
              </w:rPr>
              <w:t>强生低温等离子灭菌</w:t>
            </w:r>
            <w:r>
              <w:rPr>
                <w:rFonts w:hint="eastAsia" w:ascii="宋体" w:hAnsi="宋体"/>
                <w:sz w:val="28"/>
                <w:szCs w:val="28"/>
                <w:lang w:val="en-US" w:eastAsia="zh-CN"/>
              </w:rPr>
              <w:t>器</w:t>
            </w:r>
          </w:p>
        </w:tc>
        <w:tc>
          <w:tcPr>
            <w:tcW w:w="2470" w:type="dxa"/>
            <w:tcBorders>
              <w:bottom w:val="nil"/>
            </w:tcBorders>
          </w:tcPr>
          <w:p>
            <w:pPr>
              <w:spacing w:line="360" w:lineRule="auto"/>
              <w:jc w:val="center"/>
              <w:rPr>
                <w:rFonts w:ascii="宋体" w:hAnsi="宋体"/>
                <w:sz w:val="24"/>
              </w:rPr>
            </w:pPr>
          </w:p>
        </w:tc>
        <w:tc>
          <w:tcPr>
            <w:tcW w:w="2316" w:type="dxa"/>
            <w:tcBorders>
              <w:bottom w:val="nil"/>
            </w:tcBorders>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3669" w:type="dxa"/>
            <w:vMerge w:val="continue"/>
          </w:tcPr>
          <w:p>
            <w:pPr>
              <w:spacing w:line="360" w:lineRule="auto"/>
              <w:jc w:val="center"/>
              <w:rPr>
                <w:rFonts w:ascii="宋体" w:hAnsi="宋体"/>
                <w:sz w:val="24"/>
              </w:rPr>
            </w:pPr>
          </w:p>
        </w:tc>
        <w:tc>
          <w:tcPr>
            <w:tcW w:w="2470" w:type="dxa"/>
            <w:tcBorders>
              <w:top w:val="nil"/>
              <w:bottom w:val="nil"/>
            </w:tcBorders>
          </w:tcPr>
          <w:p>
            <w:pPr>
              <w:spacing w:line="360" w:lineRule="auto"/>
              <w:jc w:val="center"/>
              <w:rPr>
                <w:rFonts w:hint="default" w:ascii="宋体" w:hAnsi="宋体" w:eastAsiaTheme="minorEastAsia"/>
                <w:sz w:val="24"/>
                <w:lang w:val="en-US" w:eastAsia="zh-CN"/>
              </w:rPr>
            </w:pPr>
            <w:r>
              <w:rPr>
                <w:rFonts w:hint="eastAsia" w:ascii="宋体" w:hAnsi="宋体"/>
                <w:sz w:val="24"/>
              </w:rPr>
              <w:t>STERRAD  100</w:t>
            </w:r>
            <w:r>
              <w:rPr>
                <w:rFonts w:hint="eastAsia" w:ascii="宋体" w:hAnsi="宋体"/>
                <w:sz w:val="24"/>
                <w:lang w:val="en-US" w:eastAsia="zh-CN"/>
              </w:rPr>
              <w:t>NX</w:t>
            </w:r>
          </w:p>
        </w:tc>
        <w:tc>
          <w:tcPr>
            <w:tcW w:w="2316" w:type="dxa"/>
            <w:tcBorders>
              <w:top w:val="nil"/>
              <w:bottom w:val="nil"/>
            </w:tcBorders>
          </w:tcPr>
          <w:p>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101041110248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669" w:type="dxa"/>
            <w:vMerge w:val="continue"/>
          </w:tcPr>
          <w:p>
            <w:pPr>
              <w:spacing w:line="360" w:lineRule="auto"/>
              <w:rPr>
                <w:rFonts w:ascii="宋体" w:hAnsi="宋体"/>
                <w:sz w:val="24"/>
              </w:rPr>
            </w:pPr>
          </w:p>
        </w:tc>
        <w:tc>
          <w:tcPr>
            <w:tcW w:w="2470" w:type="dxa"/>
            <w:tcBorders>
              <w:top w:val="nil"/>
            </w:tcBorders>
          </w:tcPr>
          <w:p>
            <w:pPr>
              <w:spacing w:line="360" w:lineRule="auto"/>
              <w:rPr>
                <w:rFonts w:ascii="宋体" w:hAnsi="宋体"/>
                <w:sz w:val="24"/>
              </w:rPr>
            </w:pPr>
          </w:p>
        </w:tc>
        <w:tc>
          <w:tcPr>
            <w:tcW w:w="2316" w:type="dxa"/>
            <w:tcBorders>
              <w:top w:val="nil"/>
            </w:tcBorders>
          </w:tcPr>
          <w:p>
            <w:pPr>
              <w:spacing w:line="360" w:lineRule="auto"/>
              <w:rPr>
                <w:rFonts w:ascii="宋体" w:hAnsi="宋体"/>
                <w:sz w:val="24"/>
              </w:rPr>
            </w:pPr>
          </w:p>
        </w:tc>
      </w:tr>
    </w:tbl>
    <w:p>
      <w:pPr>
        <w:pStyle w:val="9"/>
        <w:ind w:left="720" w:firstLine="0" w:firstLineChars="0"/>
        <w:rPr>
          <w:rFonts w:hint="eastAsia" w:ascii="宋体" w:hAnsi="宋体"/>
          <w:sz w:val="24"/>
        </w:rPr>
      </w:pPr>
    </w:p>
    <w:p>
      <w:pPr>
        <w:pStyle w:val="9"/>
        <w:numPr>
          <w:ilvl w:val="0"/>
          <w:numId w:val="1"/>
        </w:numPr>
        <w:ind w:firstLineChars="0"/>
        <w:rPr>
          <w:rFonts w:hint="eastAsia" w:ascii="宋体" w:hAnsi="宋体"/>
          <w:sz w:val="24"/>
        </w:rPr>
      </w:pPr>
      <w:r>
        <w:rPr>
          <w:rFonts w:hint="eastAsia" w:ascii="宋体" w:hAnsi="宋体"/>
          <w:sz w:val="28"/>
          <w:szCs w:val="28"/>
        </w:rPr>
        <w:t>保修时间1年</w:t>
      </w:r>
    </w:p>
    <w:p>
      <w:pPr>
        <w:pStyle w:val="9"/>
        <w:ind w:left="720" w:firstLine="0" w:firstLineChars="0"/>
        <w:rPr>
          <w:rFonts w:ascii="宋体" w:hAnsi="宋体"/>
          <w:sz w:val="24"/>
        </w:rPr>
      </w:pPr>
    </w:p>
    <w:p>
      <w:pPr>
        <w:pStyle w:val="9"/>
        <w:numPr>
          <w:ilvl w:val="0"/>
          <w:numId w:val="1"/>
        </w:numPr>
        <w:ind w:firstLineChars="0"/>
        <w:rPr>
          <w:rFonts w:ascii="宋体" w:hAnsi="宋体"/>
          <w:sz w:val="28"/>
          <w:szCs w:val="28"/>
        </w:rPr>
      </w:pPr>
      <w:r>
        <w:rPr>
          <w:rFonts w:hint="eastAsia" w:ascii="宋体" w:hAnsi="宋体"/>
          <w:sz w:val="28"/>
          <w:szCs w:val="28"/>
        </w:rPr>
        <w:t>保修内容及要求：</w:t>
      </w:r>
    </w:p>
    <w:p>
      <w:pPr>
        <w:pStyle w:val="9"/>
        <w:numPr>
          <w:ilvl w:val="0"/>
          <w:numId w:val="2"/>
        </w:numPr>
        <w:spacing w:line="360" w:lineRule="auto"/>
        <w:ind w:firstLineChars="0"/>
        <w:rPr>
          <w:rFonts w:ascii="宋体" w:hAnsi="宋体"/>
          <w:sz w:val="28"/>
          <w:szCs w:val="28"/>
        </w:rPr>
      </w:pPr>
      <w:r>
        <w:rPr>
          <w:rFonts w:hint="eastAsia" w:ascii="宋体" w:hAnsi="宋体"/>
          <w:sz w:val="28"/>
          <w:szCs w:val="28"/>
        </w:rPr>
        <w:t xml:space="preserve"> 提供服务方在维保期内所有配件均免费更换；</w:t>
      </w:r>
    </w:p>
    <w:p>
      <w:pPr>
        <w:numPr>
          <w:ilvl w:val="0"/>
          <w:numId w:val="2"/>
        </w:numPr>
        <w:spacing w:line="360" w:lineRule="auto"/>
        <w:rPr>
          <w:rFonts w:ascii="宋体" w:hAnsi="宋体"/>
          <w:sz w:val="28"/>
          <w:szCs w:val="28"/>
        </w:rPr>
      </w:pPr>
      <w:r>
        <w:rPr>
          <w:rFonts w:ascii="宋体" w:hAnsi="宋体"/>
          <w:sz w:val="28"/>
          <w:szCs w:val="28"/>
        </w:rPr>
        <w:t>提供服务方</w:t>
      </w:r>
      <w:r>
        <w:rPr>
          <w:rFonts w:hint="eastAsia" w:ascii="宋体" w:hAnsi="宋体"/>
          <w:sz w:val="28"/>
          <w:szCs w:val="28"/>
        </w:rPr>
        <w:t>应准备常用配件备用，不得因缺配件耽误甲方设备正常运行；</w:t>
      </w:r>
    </w:p>
    <w:p>
      <w:pPr>
        <w:numPr>
          <w:ilvl w:val="0"/>
          <w:numId w:val="2"/>
        </w:numPr>
        <w:spacing w:line="360" w:lineRule="auto"/>
        <w:rPr>
          <w:rFonts w:ascii="宋体" w:hAnsi="宋体"/>
          <w:sz w:val="28"/>
          <w:szCs w:val="28"/>
        </w:rPr>
      </w:pPr>
      <w:r>
        <w:rPr>
          <w:rFonts w:ascii="宋体" w:hAnsi="宋体"/>
          <w:sz w:val="28"/>
          <w:szCs w:val="28"/>
        </w:rPr>
        <w:t>提供服务方</w:t>
      </w:r>
      <w:r>
        <w:rPr>
          <w:rFonts w:hint="eastAsia" w:ascii="宋体" w:hAnsi="宋体"/>
          <w:sz w:val="28"/>
          <w:szCs w:val="28"/>
        </w:rPr>
        <w:t>在维保期内，必须保证设备正常开机使用率大于95%以上（设备正常开机使用是指合同约定的真空超声清洗器能正常使用并且清洗效果达到国家医疗卫生行业相关标准，正常使用必须达到300天），未达到95%，每少于一天，则按1:10延长维保期；</w:t>
      </w:r>
    </w:p>
    <w:p>
      <w:pPr>
        <w:numPr>
          <w:ilvl w:val="0"/>
          <w:numId w:val="2"/>
        </w:numPr>
        <w:spacing w:line="360" w:lineRule="auto"/>
        <w:rPr>
          <w:rFonts w:ascii="宋体" w:hAnsi="宋体"/>
          <w:sz w:val="28"/>
          <w:szCs w:val="28"/>
        </w:rPr>
      </w:pPr>
      <w:r>
        <w:rPr>
          <w:rFonts w:hint="eastAsia" w:ascii="宋体" w:hAnsi="宋体"/>
          <w:sz w:val="28"/>
          <w:szCs w:val="28"/>
        </w:rPr>
        <w:t>提供服务方每月对设备进行一次全面巡视检修，二个月进行一次维修保养，巡检保养记录应由甲方使用部门签字确认，并且</w:t>
      </w:r>
      <w:r>
        <w:rPr>
          <w:rFonts w:hint="eastAsia" w:ascii="宋体" w:hAnsi="宋体"/>
          <w:sz w:val="28"/>
          <w:szCs w:val="28"/>
          <w:lang w:eastAsia="zh-CN"/>
        </w:rPr>
        <w:t>交于设备维修科</w:t>
      </w:r>
      <w:bookmarkStart w:id="0" w:name="_GoBack"/>
      <w:bookmarkEnd w:id="0"/>
      <w:r>
        <w:rPr>
          <w:rFonts w:hint="eastAsia" w:ascii="宋体" w:hAnsi="宋体"/>
          <w:sz w:val="28"/>
          <w:szCs w:val="28"/>
        </w:rPr>
        <w:t>保存留底；产品手册规定的保养（PM）的人工和备件（两次），两次全套设备电器校准（OQ）测试；公司规定的产品升级（包括配件和人工服务）。</w:t>
      </w:r>
    </w:p>
    <w:p>
      <w:pPr>
        <w:numPr>
          <w:ilvl w:val="0"/>
          <w:numId w:val="2"/>
        </w:numPr>
        <w:spacing w:line="360" w:lineRule="auto"/>
        <w:rPr>
          <w:rFonts w:ascii="宋体" w:hAnsi="宋体"/>
          <w:sz w:val="28"/>
          <w:szCs w:val="28"/>
        </w:rPr>
      </w:pPr>
      <w:r>
        <w:rPr>
          <w:rFonts w:hint="eastAsia" w:ascii="宋体" w:hAnsi="宋体"/>
          <w:sz w:val="28"/>
          <w:szCs w:val="28"/>
        </w:rPr>
        <w:t>提供服务方接到甲方报修电话4小时内响应，48小时内到达现场；</w:t>
      </w:r>
    </w:p>
    <w:p>
      <w:pPr>
        <w:numPr>
          <w:ilvl w:val="0"/>
          <w:numId w:val="2"/>
        </w:numPr>
        <w:spacing w:line="360" w:lineRule="auto"/>
        <w:rPr>
          <w:rFonts w:ascii="宋体" w:hAnsi="宋体"/>
          <w:sz w:val="28"/>
          <w:szCs w:val="28"/>
        </w:rPr>
      </w:pPr>
      <w:r>
        <w:rPr>
          <w:rFonts w:hint="eastAsia" w:ascii="宋体" w:hAnsi="宋体"/>
          <w:sz w:val="28"/>
          <w:szCs w:val="28"/>
        </w:rPr>
        <w:t>提供服务方若在超过5个工作日设备不能修复正常使用，费用由提供方承担，连续三次对同一设备不能正常修复使用，甲方有权终止本合同；</w:t>
      </w:r>
    </w:p>
    <w:p>
      <w:pPr>
        <w:numPr>
          <w:ilvl w:val="0"/>
          <w:numId w:val="2"/>
        </w:numPr>
        <w:spacing w:line="360" w:lineRule="auto"/>
        <w:rPr>
          <w:rFonts w:ascii="宋体" w:hAnsi="宋体"/>
          <w:sz w:val="28"/>
          <w:szCs w:val="28"/>
        </w:rPr>
      </w:pPr>
      <w:r>
        <w:rPr>
          <w:rFonts w:hint="eastAsia" w:ascii="宋体" w:hAnsi="宋体"/>
          <w:sz w:val="28"/>
          <w:szCs w:val="28"/>
        </w:rPr>
        <w:t>STERRAD 100</w:t>
      </w:r>
      <w:r>
        <w:rPr>
          <w:rFonts w:hint="eastAsia" w:ascii="宋体" w:hAnsi="宋体"/>
          <w:sz w:val="28"/>
          <w:szCs w:val="28"/>
          <w:lang w:val="en-US" w:eastAsia="zh-CN"/>
        </w:rPr>
        <w:t>NX</w:t>
      </w:r>
      <w:r>
        <w:rPr>
          <w:rFonts w:hint="eastAsia" w:ascii="宋体" w:hAnsi="宋体"/>
          <w:sz w:val="28"/>
          <w:szCs w:val="28"/>
        </w:rPr>
        <w:t>保养内容如下：</w:t>
      </w:r>
    </w:p>
    <w:tbl>
      <w:tblPr>
        <w:tblStyle w:val="5"/>
        <w:tblW w:w="7799" w:type="dxa"/>
        <w:tblInd w:w="10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593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3" w:type="dxa"/>
          </w:tcPr>
          <w:p>
            <w:pPr>
              <w:spacing w:line="360" w:lineRule="auto"/>
              <w:jc w:val="center"/>
              <w:rPr>
                <w:rFonts w:ascii="宋体" w:hAnsi="宋体"/>
                <w:sz w:val="28"/>
                <w:szCs w:val="28"/>
              </w:rPr>
            </w:pPr>
            <w:r>
              <w:rPr>
                <w:rFonts w:hint="eastAsia" w:ascii="宋体" w:hAnsi="宋体"/>
                <w:sz w:val="28"/>
                <w:szCs w:val="28"/>
              </w:rPr>
              <w:t>保养</w:t>
            </w:r>
          </w:p>
        </w:tc>
        <w:tc>
          <w:tcPr>
            <w:tcW w:w="5933" w:type="dxa"/>
          </w:tcPr>
          <w:p>
            <w:pPr>
              <w:spacing w:line="360" w:lineRule="auto"/>
              <w:jc w:val="center"/>
              <w:rPr>
                <w:rFonts w:ascii="宋体" w:hAnsi="宋体"/>
                <w:sz w:val="28"/>
                <w:szCs w:val="28"/>
              </w:rPr>
            </w:pPr>
            <w:r>
              <w:rPr>
                <w:rFonts w:hint="eastAsia" w:ascii="宋体" w:hAnsi="宋体"/>
                <w:sz w:val="28"/>
                <w:szCs w:val="28"/>
              </w:rPr>
              <w:t>任务描述</w:t>
            </w:r>
          </w:p>
        </w:tc>
        <w:tc>
          <w:tcPr>
            <w:tcW w:w="943" w:type="dxa"/>
          </w:tcPr>
          <w:p>
            <w:pPr>
              <w:spacing w:line="360" w:lineRule="auto"/>
              <w:jc w:val="center"/>
              <w:rPr>
                <w:rFonts w:ascii="宋体" w:hAnsi="宋体"/>
                <w:sz w:val="28"/>
                <w:szCs w:val="28"/>
              </w:rPr>
            </w:pPr>
            <w:r>
              <w:rPr>
                <w:rFonts w:hint="eastAsia" w:ascii="宋体" w:hAnsi="宋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ascii="宋体" w:hAnsi="宋体"/>
                <w:sz w:val="28"/>
                <w:szCs w:val="28"/>
              </w:rPr>
            </w:pPr>
            <w:r>
              <w:rPr>
                <w:rFonts w:hint="eastAsia" w:ascii="宋体" w:hAnsi="宋体"/>
                <w:sz w:val="28"/>
                <w:szCs w:val="28"/>
              </w:rPr>
              <w:t>更换真空泵油</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更换油雾分离滤芯</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更换舱内塑料托架</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检查并清洁风扇</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更换传递阀和转换阀</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更换空气过滤器</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更换H2O2监测器光学玻璃</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sz w:val="28"/>
                <w:szCs w:val="28"/>
                <w:lang w:val="en-US"/>
              </w:rPr>
            </w:pPr>
            <w:r>
              <w:rPr>
                <w:rFonts w:hint="eastAsia" w:ascii="宋体" w:hAnsi="宋体"/>
                <w:sz w:val="28"/>
                <w:szCs w:val="28"/>
              </w:rPr>
              <w:t>更换</w:t>
            </w:r>
            <w:r>
              <w:rPr>
                <w:rFonts w:hint="eastAsia" w:ascii="宋体" w:hAnsi="宋体"/>
                <w:sz w:val="28"/>
                <w:szCs w:val="28"/>
                <w:lang w:val="en-US" w:eastAsia="zh-CN"/>
              </w:rPr>
              <w:t>H2O2监测器灯泡</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rPr>
              <w:t>更换</w:t>
            </w:r>
            <w:r>
              <w:rPr>
                <w:rFonts w:hint="eastAsia" w:ascii="宋体" w:hAnsi="宋体"/>
                <w:sz w:val="28"/>
                <w:szCs w:val="28"/>
                <w:lang w:val="en-US" w:eastAsia="zh-CN"/>
              </w:rPr>
              <w:t>舱门密封圈</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eastAsia" w:ascii="宋体" w:hAnsi="宋体" w:eastAsiaTheme="minorEastAsia"/>
                <w:sz w:val="28"/>
                <w:szCs w:val="28"/>
                <w:lang w:val="en-US" w:eastAsia="zh-CN"/>
              </w:rPr>
            </w:pPr>
            <w:r>
              <w:rPr>
                <w:rFonts w:hint="eastAsia" w:ascii="宋体" w:hAnsi="宋体"/>
                <w:sz w:val="28"/>
                <w:szCs w:val="28"/>
              </w:rPr>
              <w:t>更换</w:t>
            </w:r>
            <w:r>
              <w:rPr>
                <w:rFonts w:hint="eastAsia" w:ascii="宋体" w:hAnsi="宋体"/>
                <w:sz w:val="28"/>
                <w:szCs w:val="28"/>
                <w:lang w:val="en-US" w:eastAsia="zh-CN"/>
              </w:rPr>
              <w:t>传递阀</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rPr>
              <w:t>更</w:t>
            </w:r>
            <w:r>
              <w:rPr>
                <w:rFonts w:hint="eastAsia" w:ascii="宋体" w:hAnsi="宋体"/>
                <w:sz w:val="28"/>
                <w:szCs w:val="28"/>
                <w:lang w:val="en-US" w:eastAsia="zh-CN"/>
              </w:rPr>
              <w:t>换传递阀空气过滤器</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更换舱门、舱体、蒸发器、冷凝器温度传感器</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粘贴设备保养标签</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ascii="宋体" w:hAnsi="宋体"/>
                <w:sz w:val="28"/>
                <w:szCs w:val="28"/>
              </w:rPr>
            </w:pPr>
            <w:r>
              <w:rPr>
                <w:rFonts w:hint="eastAsia" w:ascii="宋体" w:hAnsi="宋体"/>
                <w:sz w:val="28"/>
                <w:szCs w:val="28"/>
              </w:rPr>
              <w:t>更新设备保养日志</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ascii="宋体" w:hAnsi="宋体"/>
                <w:sz w:val="28"/>
                <w:szCs w:val="28"/>
              </w:rPr>
            </w:pPr>
            <w:r>
              <w:rPr>
                <w:rFonts w:hint="eastAsia" w:ascii="宋体" w:hAnsi="宋体"/>
                <w:sz w:val="28"/>
                <w:szCs w:val="28"/>
              </w:rPr>
              <w:t>清洁舱体内部</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hint="default" w:ascii="宋体" w:hAnsi="宋体" w:eastAsiaTheme="minorEastAsia"/>
                <w:sz w:val="28"/>
                <w:szCs w:val="28"/>
                <w:lang w:val="en-US" w:eastAsia="zh-CN"/>
              </w:rPr>
            </w:pPr>
            <w:r>
              <w:rPr>
                <w:rFonts w:hint="eastAsia" w:ascii="宋体" w:hAnsi="宋体"/>
                <w:sz w:val="28"/>
                <w:szCs w:val="28"/>
                <w:lang w:val="en-US" w:eastAsia="zh-CN"/>
              </w:rPr>
              <w:t>更换高效颗粒接触反应过滤器</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3" w:type="dxa"/>
          </w:tcPr>
          <w:p>
            <w:pPr>
              <w:spacing w:line="360" w:lineRule="auto"/>
              <w:rPr>
                <w:rFonts w:ascii="宋体" w:hAnsi="宋体"/>
                <w:sz w:val="28"/>
                <w:szCs w:val="28"/>
              </w:rPr>
            </w:pPr>
            <w:r>
              <w:rPr>
                <w:rFonts w:hint="eastAsia" w:ascii="宋体" w:hAnsi="宋体"/>
                <w:sz w:val="28"/>
                <w:szCs w:val="28"/>
              </w:rPr>
              <w:t>Y</w:t>
            </w:r>
          </w:p>
        </w:tc>
        <w:tc>
          <w:tcPr>
            <w:tcW w:w="5933" w:type="dxa"/>
          </w:tcPr>
          <w:p>
            <w:pPr>
              <w:spacing w:line="360" w:lineRule="auto"/>
              <w:rPr>
                <w:rFonts w:ascii="宋体" w:hAnsi="宋体"/>
                <w:sz w:val="28"/>
                <w:szCs w:val="28"/>
              </w:rPr>
            </w:pPr>
            <w:r>
              <w:rPr>
                <w:rFonts w:hint="eastAsia" w:ascii="宋体" w:hAnsi="宋体"/>
                <w:sz w:val="28"/>
                <w:szCs w:val="28"/>
              </w:rPr>
              <w:t>产品认证及电气测试</w:t>
            </w:r>
          </w:p>
        </w:tc>
        <w:tc>
          <w:tcPr>
            <w:tcW w:w="943" w:type="dxa"/>
          </w:tcPr>
          <w:p>
            <w:pPr>
              <w:spacing w:line="360" w:lineRule="auto"/>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23" w:type="dxa"/>
          </w:tcPr>
          <w:p>
            <w:pPr>
              <w:spacing w:line="360" w:lineRule="auto"/>
              <w:rPr>
                <w:rFonts w:hint="eastAsia" w:ascii="宋体" w:hAnsi="宋体"/>
                <w:sz w:val="28"/>
                <w:szCs w:val="28"/>
              </w:rPr>
            </w:pPr>
            <w:r>
              <w:rPr>
                <w:rFonts w:hint="eastAsia" w:ascii="宋体" w:hAnsi="宋体"/>
                <w:sz w:val="28"/>
                <w:szCs w:val="28"/>
              </w:rPr>
              <w:t>Y</w:t>
            </w:r>
          </w:p>
        </w:tc>
        <w:tc>
          <w:tcPr>
            <w:tcW w:w="5933" w:type="dxa"/>
          </w:tcPr>
          <w:p>
            <w:pPr>
              <w:spacing w:line="360" w:lineRule="auto"/>
              <w:rPr>
                <w:rFonts w:hint="eastAsia" w:ascii="宋体" w:hAnsi="宋体"/>
                <w:sz w:val="28"/>
                <w:szCs w:val="28"/>
              </w:rPr>
            </w:pPr>
          </w:p>
        </w:tc>
        <w:tc>
          <w:tcPr>
            <w:tcW w:w="943" w:type="dxa"/>
          </w:tcPr>
          <w:p>
            <w:pPr>
              <w:spacing w:line="360" w:lineRule="auto"/>
              <w:rPr>
                <w:rFonts w:ascii="宋体" w:hAnsi="宋体"/>
                <w:sz w:val="28"/>
                <w:szCs w:val="28"/>
              </w:rPr>
            </w:pPr>
          </w:p>
        </w:tc>
      </w:tr>
    </w:tbl>
    <w:p>
      <w:pPr>
        <w:spacing w:line="360" w:lineRule="auto"/>
        <w:ind w:left="1069"/>
        <w:rPr>
          <w:rFonts w:ascii="宋体" w:hAnsi="宋体"/>
          <w:sz w:val="28"/>
          <w:szCs w:val="28"/>
        </w:rPr>
      </w:pPr>
    </w:p>
    <w:p>
      <w:pPr>
        <w:spacing w:line="360" w:lineRule="auto"/>
        <w:ind w:left="1069"/>
        <w:rPr>
          <w:rFonts w:ascii="宋体" w:hAnsi="宋体"/>
          <w:sz w:val="28"/>
          <w:szCs w:val="28"/>
        </w:rPr>
      </w:pPr>
    </w:p>
    <w:p>
      <w:pPr>
        <w:tabs>
          <w:tab w:val="left" w:pos="7380"/>
        </w:tabs>
        <w:spacing w:line="360" w:lineRule="auto"/>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E795B"/>
    <w:multiLevelType w:val="multilevel"/>
    <w:tmpl w:val="110E795B"/>
    <w:lvl w:ilvl="0" w:tentative="0">
      <w:start w:val="1"/>
      <w:numFmt w:val="decimal"/>
      <w:lvlText w:val="%1、"/>
      <w:lvlJc w:val="left"/>
      <w:pPr>
        <w:ind w:left="1069" w:hanging="36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1D226393"/>
    <w:multiLevelType w:val="multilevel"/>
    <w:tmpl w:val="1D226393"/>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74DDE"/>
    <w:rsid w:val="000251D6"/>
    <w:rsid w:val="000350C1"/>
    <w:rsid w:val="000847AE"/>
    <w:rsid w:val="000C389D"/>
    <w:rsid w:val="001217DD"/>
    <w:rsid w:val="00140489"/>
    <w:rsid w:val="001D70D1"/>
    <w:rsid w:val="001F7D21"/>
    <w:rsid w:val="00212E9D"/>
    <w:rsid w:val="002333EB"/>
    <w:rsid w:val="0024244A"/>
    <w:rsid w:val="002B06A1"/>
    <w:rsid w:val="002B443D"/>
    <w:rsid w:val="002C5432"/>
    <w:rsid w:val="00343A01"/>
    <w:rsid w:val="00366960"/>
    <w:rsid w:val="003978F4"/>
    <w:rsid w:val="003A4B27"/>
    <w:rsid w:val="003C4427"/>
    <w:rsid w:val="004B0669"/>
    <w:rsid w:val="004E1F23"/>
    <w:rsid w:val="004F0D02"/>
    <w:rsid w:val="00534E22"/>
    <w:rsid w:val="00574BB2"/>
    <w:rsid w:val="005772ED"/>
    <w:rsid w:val="005D4F46"/>
    <w:rsid w:val="005E41A2"/>
    <w:rsid w:val="006239DC"/>
    <w:rsid w:val="00642676"/>
    <w:rsid w:val="00653286"/>
    <w:rsid w:val="00767ABD"/>
    <w:rsid w:val="007966EA"/>
    <w:rsid w:val="007B2AB2"/>
    <w:rsid w:val="007E5C3D"/>
    <w:rsid w:val="007E6C00"/>
    <w:rsid w:val="008129BA"/>
    <w:rsid w:val="008D1AF0"/>
    <w:rsid w:val="008F2AC1"/>
    <w:rsid w:val="00916FFA"/>
    <w:rsid w:val="00A46711"/>
    <w:rsid w:val="00A55884"/>
    <w:rsid w:val="00A70340"/>
    <w:rsid w:val="00A70609"/>
    <w:rsid w:val="00A906C6"/>
    <w:rsid w:val="00A924CC"/>
    <w:rsid w:val="00AC061B"/>
    <w:rsid w:val="00B5298C"/>
    <w:rsid w:val="00B552D8"/>
    <w:rsid w:val="00B829AA"/>
    <w:rsid w:val="00BD12E3"/>
    <w:rsid w:val="00BF6EA2"/>
    <w:rsid w:val="00BF7A05"/>
    <w:rsid w:val="00C30683"/>
    <w:rsid w:val="00C729D0"/>
    <w:rsid w:val="00CB2BF3"/>
    <w:rsid w:val="00CB50FA"/>
    <w:rsid w:val="00CC4C46"/>
    <w:rsid w:val="00CF562B"/>
    <w:rsid w:val="00D14C70"/>
    <w:rsid w:val="00D33771"/>
    <w:rsid w:val="00D93D5D"/>
    <w:rsid w:val="00DF537C"/>
    <w:rsid w:val="00E55149"/>
    <w:rsid w:val="00E831EE"/>
    <w:rsid w:val="00F1151C"/>
    <w:rsid w:val="00F243E5"/>
    <w:rsid w:val="00F26D09"/>
    <w:rsid w:val="00F36607"/>
    <w:rsid w:val="00F5500F"/>
    <w:rsid w:val="00F607AD"/>
    <w:rsid w:val="00F74DDE"/>
    <w:rsid w:val="00F85725"/>
    <w:rsid w:val="00F957A2"/>
    <w:rsid w:val="00FA34FD"/>
    <w:rsid w:val="00FF7C76"/>
    <w:rsid w:val="138C73FD"/>
    <w:rsid w:val="16640547"/>
    <w:rsid w:val="251C570A"/>
    <w:rsid w:val="430A76FC"/>
    <w:rsid w:val="517E173C"/>
    <w:rsid w:val="5C5D4E67"/>
    <w:rsid w:val="5C621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mycomputer</Company>
  <Pages>3</Pages>
  <Words>127</Words>
  <Characters>727</Characters>
  <Lines>6</Lines>
  <Paragraphs>1</Paragraphs>
  <TotalTime>1</TotalTime>
  <ScaleCrop>false</ScaleCrop>
  <LinksUpToDate>false</LinksUpToDate>
  <CharactersWithSpaces>853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2018-08-20T07:28:00Z</dcterms:created>
  <dc:creator>Administrator</dc:creator>
  <cp:lastModifiedBy>樊啟</cp:lastModifiedBy>
  <dcterms:modified xsi:type="dcterms:W3CDTF">2020-06-10T02:36:34Z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