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Autospacing="0" w:afterAutospacing="0" w:line="400" w:lineRule="exact"/>
        <w:jc w:val="left"/>
        <w:textAlignment w:val="auto"/>
        <w:rPr>
          <w:rFonts w:hint="eastAsia" w:asciiTheme="minorEastAsia" w:hAnsiTheme="minorEastAsia" w:eastAsiaTheme="minorEastAsia" w:cstheme="minorEastAsia"/>
          <w:i w:val="0"/>
          <w:caps w:val="0"/>
          <w:color w:val="000000"/>
          <w:spacing w:val="0"/>
          <w:sz w:val="24"/>
          <w:szCs w:val="24"/>
          <w:shd w:val="clear" w:fill="FFFFFF"/>
        </w:rPr>
      </w:pPr>
      <w:r>
        <w:rPr>
          <w:rFonts w:hint="eastAsia" w:asciiTheme="minorEastAsia" w:hAnsiTheme="minorEastAsia" w:eastAsiaTheme="minorEastAsia" w:cstheme="minorEastAsia"/>
          <w:i w:val="0"/>
          <w:caps w:val="0"/>
          <w:color w:val="000000"/>
          <w:spacing w:val="0"/>
          <w:sz w:val="24"/>
          <w:szCs w:val="24"/>
          <w:shd w:val="clear" w:fill="FFFFFF"/>
        </w:rPr>
        <w:t>各科（室）、研究所（室）:</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heme="minorEastAsia" w:hAnsiTheme="minorEastAsia" w:eastAsiaTheme="minorEastAsia" w:cstheme="minorEastAsia"/>
          <w:sz w:val="24"/>
          <w:szCs w:val="24"/>
        </w:rPr>
      </w:pPr>
      <w:r>
        <w:rPr>
          <w:rFonts w:hint="eastAsia"/>
          <w:lang w:val="en-US" w:eastAsia="zh-CN"/>
        </w:rPr>
        <w:t xml:space="preserve">  </w:t>
      </w:r>
      <w:r>
        <w:rPr>
          <w:rFonts w:hint="eastAsia" w:asciiTheme="minorEastAsia" w:hAnsiTheme="minorEastAsia" w:cstheme="minorEastAsia"/>
          <w:sz w:val="24"/>
          <w:szCs w:val="24"/>
          <w:lang w:val="en-US" w:eastAsia="zh-CN"/>
        </w:rPr>
        <w:t>2021</w:t>
      </w:r>
      <w:r>
        <w:rPr>
          <w:rFonts w:hint="eastAsia" w:asciiTheme="minorEastAsia" w:hAnsiTheme="minorEastAsia" w:eastAsiaTheme="minorEastAsia" w:cstheme="minorEastAsia"/>
          <w:sz w:val="24"/>
          <w:szCs w:val="24"/>
        </w:rPr>
        <w:t>年度甘肃省科技计划项目的申报工作已开始，根据甘肃省科技厅《关于组织申报2021年度省级科技计划项目的通知》</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rPr>
        <w:t>甘科计〔2021〕8号</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rPr>
        <w:t>精神，现将我院申报</w:t>
      </w:r>
      <w:r>
        <w:rPr>
          <w:rFonts w:hint="eastAsia" w:asciiTheme="minorEastAsia" w:hAnsiTheme="minorEastAsia" w:cstheme="minorEastAsia"/>
          <w:sz w:val="24"/>
          <w:szCs w:val="24"/>
          <w:lang w:val="en-US" w:eastAsia="zh-CN"/>
        </w:rPr>
        <w:t>2020</w:t>
      </w:r>
      <w:r>
        <w:rPr>
          <w:rFonts w:hint="eastAsia" w:asciiTheme="minorEastAsia" w:hAnsiTheme="minorEastAsia" w:eastAsiaTheme="minorEastAsia" w:cstheme="minorEastAsia"/>
          <w:sz w:val="24"/>
          <w:szCs w:val="24"/>
        </w:rPr>
        <w:t>年度甘肃省科技计划项目的有关事宜通知如下：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一、计划定位</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省委十三届十三次全会暨省委经济工作会议、2021年全国科技工作会议及全省科技创新大会的安排部署，围绕落实《2021年省政府工作报告》的主要指标和重点任务，以重大科技项目为牵引，以重大创新平台为支撑，以重大机制创新为保障，依托布局省级科技计划项目，提高创新供给质量，推动发展动能转换，着力打造西部地区创新驱动发展新高地。</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二、支持重点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w:t>
      </w:r>
      <w:r>
        <w:rPr>
          <w:rFonts w:hint="eastAsia" w:asciiTheme="minorEastAsia" w:hAnsiTheme="minorEastAsia" w:eastAsiaTheme="minorEastAsia" w:cstheme="minorEastAsia"/>
          <w:b/>
          <w:bCs/>
          <w:sz w:val="24"/>
          <w:szCs w:val="24"/>
        </w:rPr>
        <w:t>整合重构科技创新平台。</w:t>
      </w:r>
      <w:r>
        <w:rPr>
          <w:rFonts w:hint="eastAsia" w:asciiTheme="minorEastAsia" w:hAnsiTheme="minorEastAsia" w:eastAsiaTheme="minorEastAsia" w:cstheme="minorEastAsia"/>
          <w:sz w:val="24"/>
          <w:szCs w:val="24"/>
        </w:rPr>
        <w:t>发挥“兰白两区”对全省高质量发展的支撑引领和辐射带动作用，集中配置优势科技资源，积极培育国家战略科技力量。抢抓国家建设高水平实验室体系的有利契机，发挥中央在甘科研院所、科技型企业和兰州大学创新优势，整合省属院校、科研机构资源，强化兰州综合性国家科学中心建设的基础条件和能力支撑。</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（二）改善优化科技生态环境。</w:t>
      </w:r>
      <w:r>
        <w:rPr>
          <w:rFonts w:hint="eastAsia" w:asciiTheme="minorEastAsia" w:hAnsiTheme="minorEastAsia" w:eastAsiaTheme="minorEastAsia" w:cstheme="minorEastAsia"/>
          <w:sz w:val="24"/>
          <w:szCs w:val="24"/>
        </w:rPr>
        <w:t>加快科技体制机制改革，着力解决和改革政策协调配套不够与创新活力亟需释放的矛盾，加强重大科技基础设施建设，强化基础研究，突破人才发展瓶颈。推进科研攻关组织模式创新，遴选出带动性强的“揭榜挂帅”项目，面向全社会进行招标。鼓励高校、科研院所和企业等创新主体依托科技重大专项、重点研发计划等开发科研助理岗位。</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（三）提升企业技术创新能力。</w:t>
      </w:r>
      <w:r>
        <w:rPr>
          <w:rFonts w:hint="eastAsia" w:asciiTheme="minorEastAsia" w:hAnsiTheme="minorEastAsia" w:eastAsiaTheme="minorEastAsia" w:cstheme="minorEastAsia"/>
          <w:sz w:val="24"/>
          <w:szCs w:val="24"/>
        </w:rPr>
        <w:t>强化企业创新主体地位，促进各类创新要素向企业聚集。加大企业在创新资源配置中的主导权，充分发挥企业在技术创新决策、研发投入、科研组织和成果转化应用方面的主体作用。依托技术创新资源整合能力强的行业骨干企业牵头组建创新联合体</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集聚行业上下游中小企业创新要素和高校、院所科研力量，形成融通创新格局，推进产学研深度融合。</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（四）加快发展民生科技。</w:t>
      </w:r>
      <w:r>
        <w:rPr>
          <w:rFonts w:hint="eastAsia" w:asciiTheme="minorEastAsia" w:hAnsiTheme="minorEastAsia" w:eastAsiaTheme="minorEastAsia" w:cstheme="minorEastAsia"/>
          <w:sz w:val="24"/>
          <w:szCs w:val="24"/>
        </w:rPr>
        <w:t>支持黄河流域生态保护、典型脆弱生态系统恢复评价、重点领域重点行业污染物治理、节水与资源高效利用、应对气候变化、</w:t>
      </w:r>
      <w:r>
        <w:rPr>
          <w:rFonts w:hint="eastAsia" w:asciiTheme="minorEastAsia" w:hAnsiTheme="minorEastAsia" w:eastAsiaTheme="minorEastAsia" w:cstheme="minorEastAsia"/>
          <w:b/>
          <w:bCs/>
          <w:sz w:val="24"/>
          <w:szCs w:val="24"/>
        </w:rPr>
        <w:t>陇药大品种开发利用、新药研发、重大疾病诊治、突发传染病防控</w:t>
      </w:r>
      <w:r>
        <w:rPr>
          <w:rFonts w:hint="eastAsia" w:asciiTheme="minorEastAsia" w:hAnsiTheme="minorEastAsia" w:eastAsiaTheme="minorEastAsia" w:cstheme="minorEastAsia"/>
          <w:sz w:val="24"/>
          <w:szCs w:val="24"/>
        </w:rPr>
        <w:t>、文物保护科技创新、公共安全技术防范。</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（五）突出科技成果转移转化。</w:t>
      </w:r>
      <w:r>
        <w:rPr>
          <w:rFonts w:hint="eastAsia" w:asciiTheme="minorEastAsia" w:hAnsiTheme="minorEastAsia" w:eastAsiaTheme="minorEastAsia" w:cstheme="minorEastAsia"/>
          <w:sz w:val="24"/>
          <w:szCs w:val="24"/>
        </w:rPr>
        <w:t>围绕我省科技成果转移转化的关键问题和薄弱环节，</w:t>
      </w:r>
      <w:r>
        <w:rPr>
          <w:rFonts w:hint="eastAsia" w:asciiTheme="minorEastAsia" w:hAnsiTheme="minorEastAsia" w:eastAsiaTheme="minorEastAsia" w:cstheme="minorEastAsia"/>
          <w:b/>
          <w:bCs/>
          <w:sz w:val="24"/>
          <w:szCs w:val="24"/>
        </w:rPr>
        <w:t>深化科研院所、高校与企业合作</w:t>
      </w:r>
      <w:r>
        <w:rPr>
          <w:rFonts w:hint="eastAsia" w:asciiTheme="minorEastAsia" w:hAnsiTheme="minorEastAsia" w:eastAsiaTheme="minorEastAsia" w:cstheme="minorEastAsia"/>
          <w:sz w:val="24"/>
          <w:szCs w:val="24"/>
        </w:rPr>
        <w:t>，加强新技术、新产品、新工艺的推广与应用，探索全链条、集成式、系统化推进科技成果转移转化的路径，为科技成果转化提供一站式、精准化、零距离服务。</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三</w:t>
      </w:r>
      <w:r>
        <w:rPr>
          <w:rFonts w:hint="eastAsia" w:asciiTheme="minorEastAsia" w:hAnsiTheme="minorEastAsia" w:eastAsiaTheme="minorEastAsia" w:cstheme="minorEastAsia"/>
          <w:sz w:val="24"/>
          <w:szCs w:val="24"/>
        </w:rPr>
        <w:t>、组织方式</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2021年省级科技计划按照“</w:t>
      </w:r>
      <w:r>
        <w:rPr>
          <w:rFonts w:hint="eastAsia" w:asciiTheme="minorEastAsia" w:hAnsiTheme="minorEastAsia" w:eastAsiaTheme="minorEastAsia" w:cstheme="minorEastAsia"/>
          <w:b/>
          <w:bCs/>
          <w:sz w:val="24"/>
          <w:szCs w:val="24"/>
        </w:rPr>
        <w:t>常年受理、定期评审、分批下达</w:t>
      </w:r>
      <w:r>
        <w:rPr>
          <w:rFonts w:hint="eastAsia" w:asciiTheme="minorEastAsia" w:hAnsiTheme="minorEastAsia" w:eastAsiaTheme="minorEastAsia" w:cstheme="minorEastAsia"/>
          <w:sz w:val="24"/>
          <w:szCs w:val="24"/>
        </w:rPr>
        <w:t>”的项目管理模式，通过“自上而下”和“自下而上”相结合的方式，聚焦全省发展的科技创新问题和技术需求，筛选、凝练科研项目。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推进科技管理流程再造。按照优势突出领域“必保”、核心关键方向“必争”、高端前沿布局“必跟”的思路，推进科技资源配置方式改革。实施省级科技计划指南（“1”指南）和专项申报指南（“N”指南）相结合的方式，围绕重大项目随时发布“N”指南，进一步提高项目实施的精准性和导向性。</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布局重大技术攻关项目。积极开展科研项目实行定向组织和直接委托的方式，发挥政府作为重大科技创新组织者的作用，聚焦千亿元产业集群培育和百亿级园区建设，按照“强龙头、补链条、聚集群”的思路，围绕强链、延链、补链布局重大科技创新项目。集聚“政产学研用”资源，梳理“卡脖子”技术清单，瞄准制约传统产业转型升级和战略性新兴产业培育的核心关键技术，依托企业创新联合体、重点平台组织实施一批重大科技攻关项目，突破产业转型升级的瓶颈难题，培育形成一批标志性科技成果。</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完善科技专家咨询制度。组织高水平、多学科行业专家队伍围绕科技计划项目、创新平台、科技战略、科技预算等方面开展专题咨询，组织遴选和推荐优质项目，多方面听取和吸收意见建议，切实提高项目质量，更好发挥高水平科技创新智库的重要决策支撑作用。</w:t>
      </w:r>
    </w:p>
    <w:p>
      <w:pPr>
        <w:keepNext w:val="0"/>
        <w:keepLines w:val="0"/>
        <w:pageBreakBefore w:val="0"/>
        <w:widowControl w:val="0"/>
        <w:tabs>
          <w:tab w:val="left" w:pos="7322"/>
        </w:tabs>
        <w:kinsoku/>
        <w:overflowPunct/>
        <w:topLinePunct w:val="0"/>
        <w:autoSpaceDE/>
        <w:autoSpaceDN/>
        <w:bidi w:val="0"/>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四、计划体系</w:t>
      </w:r>
    </w:p>
    <w:p>
      <w:pPr>
        <w:keepNext w:val="0"/>
        <w:keepLines w:val="0"/>
        <w:pageBreakBefore w:val="0"/>
        <w:widowControl w:val="0"/>
        <w:kinsoku/>
        <w:wordWrap/>
        <w:overflowPunct/>
        <w:topLinePunct w:val="0"/>
        <w:autoSpaceDE/>
        <w:autoSpaceDN/>
        <w:bidi w:val="0"/>
        <w:adjustRightInd w:val="0"/>
        <w:snapToGrid w:val="0"/>
        <w:spacing w:line="400" w:lineRule="exact"/>
        <w:ind w:firstLine="422" w:firstLineChars="200"/>
        <w:textAlignment w:val="auto"/>
        <w:rPr>
          <w:rFonts w:hint="eastAsia" w:ascii="宋体" w:hAnsi="宋体" w:eastAsia="宋体" w:cs="宋体"/>
          <w:b/>
          <w:color w:val="000000"/>
          <w:lang w:eastAsia="zh-CN"/>
        </w:rPr>
      </w:pPr>
      <w:r>
        <w:rPr>
          <w:rFonts w:hint="eastAsia" w:ascii="宋体" w:hAnsi="宋体" w:eastAsia="宋体" w:cs="宋体"/>
          <w:b/>
          <w:color w:val="000000"/>
          <w:lang w:eastAsia="zh-CN"/>
        </w:rPr>
        <w:drawing>
          <wp:anchor distT="0" distB="0" distL="114300" distR="114300" simplePos="0" relativeHeight="251659264" behindDoc="1" locked="0" layoutInCell="1" allowOverlap="1">
            <wp:simplePos x="0" y="0"/>
            <wp:positionH relativeFrom="column">
              <wp:posOffset>22225</wp:posOffset>
            </wp:positionH>
            <wp:positionV relativeFrom="paragraph">
              <wp:posOffset>176530</wp:posOffset>
            </wp:positionV>
            <wp:extent cx="4430395" cy="3394710"/>
            <wp:effectExtent l="0" t="0" r="8255" b="15240"/>
            <wp:wrapTight wrapText="bothSides">
              <wp:wrapPolygon>
                <wp:start x="0" y="0"/>
                <wp:lineTo x="0" y="21455"/>
                <wp:lineTo x="21547" y="21455"/>
                <wp:lineTo x="21547" y="0"/>
                <wp:lineTo x="0" y="0"/>
              </wp:wrapPolygon>
            </wp:wrapTight>
            <wp:docPr id="37" name="图片 37" descr="76bc01e610124ee651130bfde63eb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76bc01e610124ee651130bfde63eb0d"/>
                    <pic:cNvPicPr>
                      <a:picLocks noChangeAspect="1"/>
                    </pic:cNvPicPr>
                  </pic:nvPicPr>
                  <pic:blipFill>
                    <a:blip r:embed="rId4"/>
                    <a:stretch>
                      <a:fillRect/>
                    </a:stretch>
                  </pic:blipFill>
                  <pic:spPr>
                    <a:xfrm>
                      <a:off x="0" y="0"/>
                      <a:ext cx="4430395" cy="3394710"/>
                    </a:xfrm>
                    <a:prstGeom prst="rect">
                      <a:avLst/>
                    </a:prstGeom>
                  </pic:spPr>
                </pic:pic>
              </a:graphicData>
            </a:graphic>
          </wp:anchor>
        </w:drawing>
      </w:r>
    </w:p>
    <w:p>
      <w:pPr>
        <w:keepNext w:val="0"/>
        <w:keepLines w:val="0"/>
        <w:pageBreakBefore w:val="0"/>
        <w:widowControl w:val="0"/>
        <w:kinsoku/>
        <w:overflowPunct/>
        <w:topLinePunct w:val="0"/>
        <w:autoSpaceDE/>
        <w:autoSpaceDN/>
        <w:bidi w:val="0"/>
        <w:spacing w:line="400" w:lineRule="exact"/>
        <w:textAlignment w:val="auto"/>
        <w:rPr>
          <w:rFonts w:hint="default" w:asciiTheme="minorHAnsi" w:hAnsiTheme="minorHAnsi" w:eastAsiaTheme="minorEastAsia" w:cstheme="minorBidi"/>
          <w:kern w:val="2"/>
          <w:sz w:val="21"/>
          <w:szCs w:val="24"/>
          <w:lang w:val="en-US" w:eastAsia="zh-CN" w:bidi="ar-SA"/>
        </w:rPr>
      </w:pPr>
    </w:p>
    <w:p>
      <w:pPr>
        <w:keepNext w:val="0"/>
        <w:keepLines w:val="0"/>
        <w:pageBreakBefore w:val="0"/>
        <w:widowControl w:val="0"/>
        <w:kinsoku/>
        <w:overflowPunct/>
        <w:topLinePunct w:val="0"/>
        <w:autoSpaceDE/>
        <w:autoSpaceDN/>
        <w:bidi w:val="0"/>
        <w:spacing w:line="400" w:lineRule="exact"/>
        <w:textAlignment w:val="auto"/>
        <w:rPr>
          <w:rFonts w:hint="default"/>
          <w:lang w:val="en-US" w:eastAsia="zh-CN"/>
        </w:rPr>
      </w:pPr>
    </w:p>
    <w:p>
      <w:pPr>
        <w:keepNext w:val="0"/>
        <w:keepLines w:val="0"/>
        <w:pageBreakBefore w:val="0"/>
        <w:widowControl w:val="0"/>
        <w:kinsoku/>
        <w:overflowPunct/>
        <w:topLinePunct w:val="0"/>
        <w:autoSpaceDE/>
        <w:autoSpaceDN/>
        <w:bidi w:val="0"/>
        <w:spacing w:line="400" w:lineRule="exact"/>
        <w:textAlignment w:val="auto"/>
        <w:rPr>
          <w:rFonts w:hint="default"/>
          <w:lang w:val="en-US" w:eastAsia="zh-CN"/>
        </w:rPr>
      </w:pPr>
    </w:p>
    <w:p>
      <w:pPr>
        <w:keepNext w:val="0"/>
        <w:keepLines w:val="0"/>
        <w:pageBreakBefore w:val="0"/>
        <w:widowControl w:val="0"/>
        <w:kinsoku/>
        <w:overflowPunct/>
        <w:topLinePunct w:val="0"/>
        <w:autoSpaceDE/>
        <w:autoSpaceDN/>
        <w:bidi w:val="0"/>
        <w:spacing w:line="400" w:lineRule="exact"/>
        <w:textAlignment w:val="auto"/>
        <w:rPr>
          <w:rFonts w:hint="default"/>
          <w:lang w:val="en-US" w:eastAsia="zh-CN"/>
        </w:rPr>
      </w:pPr>
    </w:p>
    <w:p>
      <w:pPr>
        <w:keepNext w:val="0"/>
        <w:keepLines w:val="0"/>
        <w:pageBreakBefore w:val="0"/>
        <w:widowControl w:val="0"/>
        <w:kinsoku/>
        <w:overflowPunct/>
        <w:topLinePunct w:val="0"/>
        <w:autoSpaceDE/>
        <w:autoSpaceDN/>
        <w:bidi w:val="0"/>
        <w:spacing w:line="400" w:lineRule="exact"/>
        <w:textAlignment w:val="auto"/>
        <w:rPr>
          <w:rFonts w:hint="default"/>
          <w:lang w:val="en-US" w:eastAsia="zh-CN"/>
        </w:rPr>
      </w:pPr>
    </w:p>
    <w:p>
      <w:pPr>
        <w:keepNext w:val="0"/>
        <w:keepLines w:val="0"/>
        <w:pageBreakBefore w:val="0"/>
        <w:widowControl w:val="0"/>
        <w:kinsoku/>
        <w:overflowPunct/>
        <w:topLinePunct w:val="0"/>
        <w:autoSpaceDE/>
        <w:autoSpaceDN/>
        <w:bidi w:val="0"/>
        <w:spacing w:line="400" w:lineRule="exact"/>
        <w:textAlignment w:val="auto"/>
        <w:rPr>
          <w:rFonts w:hint="default"/>
          <w:lang w:val="en-US" w:eastAsia="zh-CN"/>
        </w:rPr>
      </w:pPr>
    </w:p>
    <w:p>
      <w:pPr>
        <w:keepNext w:val="0"/>
        <w:keepLines w:val="0"/>
        <w:pageBreakBefore w:val="0"/>
        <w:widowControl w:val="0"/>
        <w:kinsoku/>
        <w:overflowPunct/>
        <w:topLinePunct w:val="0"/>
        <w:autoSpaceDE/>
        <w:autoSpaceDN/>
        <w:bidi w:val="0"/>
        <w:spacing w:line="400" w:lineRule="exact"/>
        <w:textAlignment w:val="auto"/>
        <w:rPr>
          <w:rFonts w:hint="default"/>
          <w:lang w:val="en-US" w:eastAsia="zh-CN"/>
        </w:rPr>
      </w:pPr>
    </w:p>
    <w:p>
      <w:pPr>
        <w:keepNext w:val="0"/>
        <w:keepLines w:val="0"/>
        <w:pageBreakBefore w:val="0"/>
        <w:widowControl w:val="0"/>
        <w:kinsoku/>
        <w:overflowPunct/>
        <w:topLinePunct w:val="0"/>
        <w:autoSpaceDE/>
        <w:autoSpaceDN/>
        <w:bidi w:val="0"/>
        <w:spacing w:line="400" w:lineRule="exact"/>
        <w:textAlignment w:val="auto"/>
        <w:rPr>
          <w:rFonts w:hint="default"/>
          <w:lang w:val="en-US" w:eastAsia="zh-CN"/>
        </w:rPr>
      </w:pPr>
    </w:p>
    <w:p>
      <w:pPr>
        <w:keepNext w:val="0"/>
        <w:keepLines w:val="0"/>
        <w:pageBreakBefore w:val="0"/>
        <w:widowControl w:val="0"/>
        <w:kinsoku/>
        <w:overflowPunct/>
        <w:topLinePunct w:val="0"/>
        <w:autoSpaceDE/>
        <w:autoSpaceDN/>
        <w:bidi w:val="0"/>
        <w:spacing w:line="400" w:lineRule="exact"/>
        <w:textAlignment w:val="auto"/>
        <w:rPr>
          <w:rFonts w:hint="default"/>
          <w:lang w:val="en-US" w:eastAsia="zh-CN"/>
        </w:rPr>
      </w:pPr>
    </w:p>
    <w:p>
      <w:pPr>
        <w:keepNext w:val="0"/>
        <w:keepLines w:val="0"/>
        <w:pageBreakBefore w:val="0"/>
        <w:widowControl w:val="0"/>
        <w:kinsoku/>
        <w:overflowPunct/>
        <w:topLinePunct w:val="0"/>
        <w:autoSpaceDE/>
        <w:autoSpaceDN/>
        <w:bidi w:val="0"/>
        <w:spacing w:line="400" w:lineRule="exact"/>
        <w:textAlignment w:val="auto"/>
        <w:rPr>
          <w:rFonts w:hint="default"/>
          <w:lang w:val="en-US" w:eastAsia="zh-CN"/>
        </w:rPr>
      </w:pPr>
    </w:p>
    <w:p>
      <w:pPr>
        <w:keepNext w:val="0"/>
        <w:keepLines w:val="0"/>
        <w:pageBreakBefore w:val="0"/>
        <w:widowControl w:val="0"/>
        <w:kinsoku/>
        <w:overflowPunct/>
        <w:topLinePunct w:val="0"/>
        <w:autoSpaceDE/>
        <w:autoSpaceDN/>
        <w:bidi w:val="0"/>
        <w:spacing w:line="400" w:lineRule="exact"/>
        <w:textAlignment w:val="auto"/>
        <w:rPr>
          <w:rFonts w:hint="default"/>
          <w:lang w:val="en-US" w:eastAsia="zh-CN"/>
        </w:rPr>
      </w:pPr>
    </w:p>
    <w:p>
      <w:pPr>
        <w:keepNext w:val="0"/>
        <w:keepLines w:val="0"/>
        <w:pageBreakBefore w:val="0"/>
        <w:widowControl w:val="0"/>
        <w:kinsoku/>
        <w:overflowPunct/>
        <w:topLinePunct w:val="0"/>
        <w:autoSpaceDE/>
        <w:autoSpaceDN/>
        <w:bidi w:val="0"/>
        <w:spacing w:line="400" w:lineRule="exact"/>
        <w:textAlignment w:val="auto"/>
        <w:rPr>
          <w:rFonts w:hint="default"/>
          <w:lang w:val="en-US" w:eastAsia="zh-CN"/>
        </w:rPr>
      </w:pP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2021年省级科技计划按照科技</w:t>
      </w:r>
      <w:r>
        <w:rPr>
          <w:rFonts w:hint="eastAsia" w:ascii="宋体" w:hAnsi="宋体" w:eastAsia="宋体" w:cs="宋体"/>
          <w:b/>
          <w:bCs/>
          <w:sz w:val="24"/>
          <w:szCs w:val="24"/>
          <w:lang w:val="en-US" w:eastAsia="zh-CN"/>
        </w:rPr>
        <w:t>重大专项计划、重点研发计划、技术创新引导计划、创新基地和人才计划</w:t>
      </w:r>
      <w:r>
        <w:rPr>
          <w:rFonts w:hint="eastAsia" w:ascii="宋体" w:hAnsi="宋体" w:eastAsia="宋体" w:cs="宋体"/>
          <w:sz w:val="24"/>
          <w:szCs w:val="24"/>
          <w:lang w:val="en-US" w:eastAsia="zh-CN"/>
        </w:rPr>
        <w:t>等4类组织实施。</w:t>
      </w:r>
    </w:p>
    <w:p>
      <w:pPr>
        <w:keepNext w:val="0"/>
        <w:keepLines w:val="0"/>
        <w:pageBreakBefore w:val="0"/>
        <w:widowControl w:val="0"/>
        <w:tabs>
          <w:tab w:val="left" w:pos="7322"/>
        </w:tabs>
        <w:kinsoku/>
        <w:wordWrap/>
        <w:overflowPunct/>
        <w:topLinePunct w:val="0"/>
        <w:autoSpaceDE/>
        <w:autoSpaceDN/>
        <w:bidi w:val="0"/>
        <w:spacing w:line="400" w:lineRule="exact"/>
        <w:jc w:val="left"/>
        <w:textAlignment w:val="auto"/>
        <w:rPr>
          <w:rFonts w:hint="eastAsia" w:ascii="宋体" w:hAnsi="宋体" w:eastAsia="宋体" w:cs="宋体"/>
          <w:sz w:val="24"/>
          <w:szCs w:val="24"/>
          <w:lang w:val="en-US" w:eastAsia="zh-CN"/>
        </w:rPr>
      </w:pPr>
    </w:p>
    <w:p>
      <w:pPr>
        <w:keepNext w:val="0"/>
        <w:keepLines w:val="0"/>
        <w:pageBreakBefore w:val="0"/>
        <w:widowControl w:val="0"/>
        <w:tabs>
          <w:tab w:val="left" w:pos="7322"/>
        </w:tabs>
        <w:kinsoku/>
        <w:wordWrap/>
        <w:overflowPunct/>
        <w:topLinePunct w:val="0"/>
        <w:autoSpaceDE/>
        <w:autoSpaceDN/>
        <w:bidi w:val="0"/>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（一）科技重大专项计划。科技重大专项计划分为工业、农业、</w:t>
      </w:r>
      <w:r>
        <w:rPr>
          <w:rFonts w:hint="eastAsia" w:ascii="宋体" w:hAnsi="宋体" w:eastAsia="宋体" w:cs="宋体"/>
          <w:b/>
          <w:bCs/>
          <w:sz w:val="24"/>
          <w:szCs w:val="24"/>
          <w:lang w:val="en-US" w:eastAsia="zh-CN"/>
        </w:rPr>
        <w:t>社会发展</w:t>
      </w:r>
      <w:r>
        <w:rPr>
          <w:rFonts w:hint="eastAsia" w:ascii="宋体" w:hAnsi="宋体" w:eastAsia="宋体" w:cs="宋体"/>
          <w:sz w:val="24"/>
          <w:szCs w:val="24"/>
          <w:lang w:val="en-US" w:eastAsia="zh-CN"/>
        </w:rPr>
        <w:t>、国际科技合作等领域组织申报。</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社会发展领域。重点围绕</w:t>
      </w:r>
      <w:r>
        <w:rPr>
          <w:rFonts w:hint="eastAsia" w:ascii="宋体" w:hAnsi="宋体" w:eastAsia="宋体" w:cs="宋体"/>
          <w:b/>
          <w:bCs/>
          <w:sz w:val="24"/>
          <w:szCs w:val="24"/>
          <w:lang w:val="en-US" w:eastAsia="zh-CN"/>
        </w:rPr>
        <w:t>黄河甘肃段河流生态健康评估监测</w:t>
      </w:r>
      <w:r>
        <w:rPr>
          <w:rFonts w:hint="eastAsia" w:ascii="宋体" w:hAnsi="宋体" w:eastAsia="宋体" w:cs="宋体"/>
          <w:sz w:val="24"/>
          <w:szCs w:val="24"/>
          <w:lang w:val="en-US" w:eastAsia="zh-CN"/>
        </w:rPr>
        <w:t>、陇东陇中黄土高原水土流失治理、八步沙及河西走廊典型区域防沙治沙关键技术、甘肃典型脆弱生态系统健康评估与预警技术、甘肃重点地区地震预测预警新方法与新技术、</w:t>
      </w:r>
      <w:r>
        <w:rPr>
          <w:rFonts w:hint="eastAsia" w:ascii="宋体" w:hAnsi="宋体" w:eastAsia="宋体" w:cs="宋体"/>
          <w:b/>
          <w:bCs/>
          <w:sz w:val="24"/>
          <w:szCs w:val="24"/>
          <w:lang w:val="en-US" w:eastAsia="zh-CN"/>
        </w:rPr>
        <w:t>老龄人口综合干预技术、干细胞/仿制药/细胞免疫疗法/生物疫苗等重大生物医药技术开发应用、陇药大品种大品牌的开发和产业化</w:t>
      </w:r>
      <w:r>
        <w:rPr>
          <w:rFonts w:hint="eastAsia" w:ascii="宋体" w:hAnsi="宋体" w:eastAsia="宋体" w:cs="宋体"/>
          <w:sz w:val="24"/>
          <w:szCs w:val="24"/>
          <w:lang w:val="en-US" w:eastAsia="zh-CN"/>
        </w:rPr>
        <w:t>、甘肃方剂的开发利用、社会治理与平安甘肃建设关键技术、嘉陵江流域尾矿治理、高耗水产业工业节水关键技术、文物保护科技创新、公共安全技术防范等方向组织实施。</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国际科技合作领域。重点支持融入国家多边科技合作机制开展联合创新，坚持目标、需求、结果三个导向兼备，在有色金属、生态农业、</w:t>
      </w:r>
      <w:r>
        <w:rPr>
          <w:rFonts w:hint="eastAsia" w:ascii="宋体" w:hAnsi="宋体" w:eastAsia="宋体" w:cs="宋体"/>
          <w:b/>
          <w:bCs/>
          <w:sz w:val="24"/>
          <w:szCs w:val="24"/>
          <w:lang w:val="en-US" w:eastAsia="zh-CN"/>
        </w:rPr>
        <w:t>生物医学</w:t>
      </w:r>
      <w:r>
        <w:rPr>
          <w:rFonts w:hint="eastAsia" w:ascii="宋体" w:hAnsi="宋体" w:eastAsia="宋体" w:cs="宋体"/>
          <w:sz w:val="24"/>
          <w:szCs w:val="24"/>
          <w:lang w:val="en-US" w:eastAsia="zh-CN"/>
        </w:rPr>
        <w:t>、装备制造、新材料等5个重点领域共建联合实验室，解决关键共性技术问题，促进成果转移转化。</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（二）重点研发计划。重点研发计划分为工业、农业、</w:t>
      </w:r>
      <w:r>
        <w:rPr>
          <w:rFonts w:hint="eastAsia" w:ascii="宋体" w:hAnsi="宋体" w:eastAsia="宋体" w:cs="宋体"/>
          <w:b/>
          <w:bCs/>
          <w:sz w:val="24"/>
          <w:szCs w:val="24"/>
          <w:lang w:val="en-US" w:eastAsia="zh-CN"/>
        </w:rPr>
        <w:t>社会发展</w:t>
      </w:r>
      <w:r>
        <w:rPr>
          <w:rFonts w:hint="eastAsia" w:ascii="宋体" w:hAnsi="宋体" w:eastAsia="宋体" w:cs="宋体"/>
          <w:sz w:val="24"/>
          <w:szCs w:val="24"/>
          <w:lang w:val="en-US" w:eastAsia="zh-CN"/>
        </w:rPr>
        <w:t>、国际科技合作等领域组织申报。</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社会发展领域。重点围绕高寒区污水处理技术、重金属土壤污染防治、烟气除尘净化等水、土壤和大气污染防治，洪涝灾害、气象灾害等重大自然灾害监测预警预防，生态安全评估，生态损害赔偿鉴定与评估关键技术，碳达峰碳中和关键技术，城镇节水技术与产品研发，</w:t>
      </w:r>
      <w:r>
        <w:rPr>
          <w:rFonts w:hint="eastAsia" w:ascii="宋体" w:hAnsi="宋体" w:eastAsia="宋体" w:cs="宋体"/>
          <w:b/>
          <w:bCs/>
          <w:sz w:val="24"/>
          <w:szCs w:val="24"/>
          <w:lang w:val="en-US" w:eastAsia="zh-CN"/>
        </w:rPr>
        <w:t>常见重大疾病整治，突发传染病防控，人口出生缺陷干预，陇药大品种开发利用，医用检验检测技术与产品研发，医疗器械产品研发，</w:t>
      </w:r>
      <w:r>
        <w:rPr>
          <w:rFonts w:hint="eastAsia" w:ascii="宋体" w:hAnsi="宋体" w:eastAsia="宋体" w:cs="宋体"/>
          <w:sz w:val="24"/>
          <w:szCs w:val="24"/>
          <w:lang w:val="en-US" w:eastAsia="zh-CN"/>
        </w:rPr>
        <w:t>动漫设计、视频特效等文化旅游产业关键技术，食品安全检验监测关键技术，安全生产与消防开展共性关键技术研发。</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国际科技合作领域。以国际科技合作基地为支撑，以具备国际科技合作基础的科研团队为依托，面向中东欧、中非、周边国家及国际合作组织，优先支持智慧农业、先进制造、</w:t>
      </w:r>
      <w:r>
        <w:rPr>
          <w:rFonts w:hint="eastAsia" w:ascii="宋体" w:hAnsi="宋体" w:eastAsia="宋体" w:cs="宋体"/>
          <w:b/>
          <w:bCs/>
          <w:sz w:val="24"/>
          <w:szCs w:val="24"/>
          <w:lang w:val="en-US" w:eastAsia="zh-CN"/>
        </w:rPr>
        <w:t>生命健康、</w:t>
      </w:r>
      <w:r>
        <w:rPr>
          <w:rFonts w:hint="eastAsia" w:ascii="宋体" w:hAnsi="宋体" w:eastAsia="宋体" w:cs="宋体"/>
          <w:sz w:val="24"/>
          <w:szCs w:val="24"/>
          <w:lang w:val="en-US" w:eastAsia="zh-CN"/>
        </w:rPr>
        <w:t>信息技术、环境科学、装备制造、人工智能、新能源、新材料等领域开展联合研发、推进技术转移与示范、促进科技人文交流。</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（三）技术创新引导计划。技术创新引导计划包括科技型中小企业技术创新基金（含科技“小巨人”企业培育）、软科学、民生科技、区域科技合作与创新发展等专项。</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软科学专项。围绕我省经济社会发展中日益复杂的决策问题，重点在黄河流域生态保护和高质量发展、科技人才激励办法、</w:t>
      </w:r>
      <w:r>
        <w:rPr>
          <w:rFonts w:hint="eastAsia" w:ascii="宋体" w:hAnsi="宋体" w:eastAsia="宋体" w:cs="宋体"/>
          <w:b/>
          <w:bCs/>
          <w:sz w:val="24"/>
          <w:szCs w:val="24"/>
          <w:lang w:val="en-US" w:eastAsia="zh-CN"/>
        </w:rPr>
        <w:t>科研诚信和科研绩效评价</w:t>
      </w:r>
      <w:r>
        <w:rPr>
          <w:rFonts w:hint="eastAsia" w:ascii="宋体" w:hAnsi="宋体" w:eastAsia="宋体" w:cs="宋体"/>
          <w:sz w:val="24"/>
          <w:szCs w:val="24"/>
          <w:lang w:val="en-US" w:eastAsia="zh-CN"/>
        </w:rPr>
        <w:t>、科技支撑生态产业发展、兰州白银国家自主创新示范区和兰白科技创新改革试验区建设、民营企业科技创新能力、</w:t>
      </w:r>
      <w:r>
        <w:rPr>
          <w:rFonts w:hint="eastAsia" w:ascii="宋体" w:hAnsi="宋体" w:eastAsia="宋体" w:cs="宋体"/>
          <w:b w:val="0"/>
          <w:bCs w:val="0"/>
          <w:sz w:val="24"/>
          <w:szCs w:val="24"/>
          <w:lang w:val="en-US" w:eastAsia="zh-CN"/>
        </w:rPr>
        <w:t>区块链技术发展现状及应用、科</w:t>
      </w:r>
      <w:r>
        <w:rPr>
          <w:rFonts w:hint="eastAsia" w:ascii="宋体" w:hAnsi="宋体" w:eastAsia="宋体" w:cs="宋体"/>
          <w:sz w:val="24"/>
          <w:szCs w:val="24"/>
          <w:lang w:val="en-US" w:eastAsia="zh-CN"/>
        </w:rPr>
        <w:t>普助推创新驱动发展提升公民科学素养、外国专家服务甘肃工作机制、“一带一路”国家合作、突发公共安全事件管理等领域,为决策科学提供战略性研究。</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民生科技专项。以服务保障民生需求为根本宗旨，重点在民生领域开展适用技术的推广与应用，科技支撑地方社会经济发展，使更多科技成果惠及民生。分为</w:t>
      </w:r>
      <w:r>
        <w:rPr>
          <w:rFonts w:hint="eastAsia" w:ascii="宋体" w:hAnsi="宋体" w:eastAsia="宋体" w:cs="宋体"/>
          <w:b/>
          <w:bCs/>
          <w:sz w:val="24"/>
          <w:szCs w:val="24"/>
          <w:lang w:val="en-US" w:eastAsia="zh-CN"/>
        </w:rPr>
        <w:t>社会发展</w:t>
      </w:r>
      <w:r>
        <w:rPr>
          <w:rFonts w:hint="eastAsia" w:ascii="宋体" w:hAnsi="宋体" w:eastAsia="宋体" w:cs="宋体"/>
          <w:sz w:val="24"/>
          <w:szCs w:val="24"/>
          <w:lang w:val="en-US" w:eastAsia="zh-CN"/>
        </w:rPr>
        <w:t>专题、乡村振兴专题。</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社会发展专题：重点围绕城镇人口养老服务、</w:t>
      </w:r>
      <w:r>
        <w:rPr>
          <w:rFonts w:hint="eastAsia" w:ascii="宋体" w:hAnsi="宋体" w:eastAsia="宋体" w:cs="宋体"/>
          <w:b/>
          <w:bCs/>
          <w:sz w:val="24"/>
          <w:szCs w:val="24"/>
          <w:lang w:val="en-US" w:eastAsia="zh-CN"/>
        </w:rPr>
        <w:t>慢性疾病诊治、医疗信息化技术推广应用</w:t>
      </w:r>
      <w:r>
        <w:rPr>
          <w:rFonts w:hint="eastAsia" w:ascii="宋体" w:hAnsi="宋体" w:eastAsia="宋体" w:cs="宋体"/>
          <w:sz w:val="24"/>
          <w:szCs w:val="24"/>
          <w:lang w:val="en-US" w:eastAsia="zh-CN"/>
        </w:rPr>
        <w:t>、农村生态环境治理、城乡生活垃圾分类与资源利用、智慧社区治理、城镇化发展、重大自然灾害预测预防等领域的先进适用科技成果开展集成和示范应用。</w:t>
      </w:r>
    </w:p>
    <w:p>
      <w:pPr>
        <w:keepNext w:val="0"/>
        <w:keepLines w:val="0"/>
        <w:pageBreakBefore w:val="0"/>
        <w:widowControl w:val="0"/>
        <w:tabs>
          <w:tab w:val="left" w:pos="7322"/>
        </w:tabs>
        <w:kinsoku/>
        <w:wordWrap/>
        <w:overflowPunct/>
        <w:topLinePunct w:val="0"/>
        <w:autoSpaceDE/>
        <w:autoSpaceDN/>
        <w:bidi w:val="0"/>
        <w:spacing w:line="40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（四）创新基地和人才计划。</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创新基地专项。科技创新基地专项按照科学与工程研究、技术创新与成果转化、基础支撑与条件保障三大类统筹布局。继续优化整合现有省级科技创新基地和平台，重点实验室（含研究中心）、科技创新服务平台和技术创新中心，以培育和建设兰州综合性科学中心为目标，围绕《兰州综合性国家科学中心建设方案》中的重点任务，采取“</w:t>
      </w:r>
      <w:r>
        <w:rPr>
          <w:rFonts w:hint="eastAsia" w:ascii="宋体" w:hAnsi="宋体" w:eastAsia="宋体" w:cs="宋体"/>
          <w:b/>
          <w:bCs/>
          <w:sz w:val="24"/>
          <w:szCs w:val="24"/>
          <w:lang w:val="en-US" w:eastAsia="zh-CN"/>
        </w:rPr>
        <w:t>自上而下、成熟一个、建设一个</w:t>
      </w:r>
      <w:r>
        <w:rPr>
          <w:rFonts w:hint="eastAsia" w:ascii="宋体" w:hAnsi="宋体" w:eastAsia="宋体" w:cs="宋体"/>
          <w:sz w:val="24"/>
          <w:szCs w:val="24"/>
          <w:lang w:val="en-US" w:eastAsia="zh-CN"/>
        </w:rPr>
        <w:t>”的原则实施。</w:t>
      </w:r>
    </w:p>
    <w:p>
      <w:pPr>
        <w:keepNext w:val="0"/>
        <w:keepLines w:val="0"/>
        <w:pageBreakBefore w:val="0"/>
        <w:widowControl w:val="0"/>
        <w:tabs>
          <w:tab w:val="left" w:pos="7322"/>
        </w:tabs>
        <w:kinsoku/>
        <w:wordWrap/>
        <w:overflowPunct/>
        <w:topLinePunct w:val="0"/>
        <w:autoSpaceDE/>
        <w:autoSpaceDN/>
        <w:bidi w:val="0"/>
        <w:spacing w:line="400" w:lineRule="exact"/>
        <w:ind w:firstLine="482"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省临床医学研究中心</w:t>
      </w:r>
      <w:r>
        <w:rPr>
          <w:rFonts w:hint="eastAsia" w:ascii="宋体" w:hAnsi="宋体" w:eastAsia="宋体" w:cs="宋体"/>
          <w:sz w:val="24"/>
          <w:szCs w:val="24"/>
          <w:lang w:val="en-US" w:eastAsia="zh-CN"/>
        </w:rPr>
        <w:t>重点面向全省疾病防治需求，以临床应用为导向，以医疗机构为主体，以协同创新网络为支撑，开展联合攻关、学术交流、人才培养、成果转化及推广应用，提升全省疾病诊疗技术水平和服务能力，围绕甘肃省疾病防控战略需求，重点在主要疾病领域和临床专科布局。省野外科学观测研究站主要面向我省重点学科建设、生态环境保护和资源合理开发利用等方面发展需要，开展长期、系统的科学观测、试验、示范和高水平科学研究，具备20年以上的土地使用证和5年以上的系统性观测实验数据，野外站建设单位为一级法人单位，学科领域按一级学科申报。</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省属科研院所创新能力建设专项。重点围绕科研基础条件和能力建设、科技创新创业服务体系建设（含科技项目第三方机构管理体系、科技金融服务体系、科研经费监管体系）、实验基地建设、大型科研及中试生产装置装备、创新人才培养等方面开展，通过对优势突出，研究与开发方向明确且具备进一步发展基础条件的省属科研院所进行重点支持。</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3.科技人才专项。通过甘肃省自然科学基金、杰出青年基金、基础研究创新群体等计划组织项目。</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b/>
          <w:bCs/>
          <w:sz w:val="24"/>
          <w:szCs w:val="24"/>
          <w:lang w:val="en-US" w:eastAsia="zh-CN"/>
        </w:rPr>
        <w:t>自然科学基金项目</w:t>
      </w:r>
      <w:r>
        <w:rPr>
          <w:rFonts w:hint="eastAsia" w:ascii="宋体" w:hAnsi="宋体" w:eastAsia="宋体" w:cs="宋体"/>
          <w:sz w:val="24"/>
          <w:szCs w:val="24"/>
          <w:lang w:val="en-US" w:eastAsia="zh-CN"/>
        </w:rPr>
        <w:t>。省自然科学基金项目坚持自由探索和需求导向相结合，按照一般项目、青年科技基金、重点项目等三个层次组织。一般项目、青年科技基金项目</w:t>
      </w:r>
      <w:r>
        <w:rPr>
          <w:rFonts w:hint="eastAsia" w:ascii="宋体" w:hAnsi="宋体" w:eastAsia="宋体" w:cs="宋体"/>
          <w:b/>
          <w:bCs/>
          <w:sz w:val="24"/>
          <w:szCs w:val="24"/>
          <w:lang w:val="en-US" w:eastAsia="zh-CN"/>
        </w:rPr>
        <w:t>要求研究目标明确、集中，研究内容不宜大而全</w:t>
      </w:r>
      <w:r>
        <w:rPr>
          <w:rFonts w:hint="eastAsia" w:ascii="宋体" w:hAnsi="宋体" w:eastAsia="宋体" w:cs="宋体"/>
          <w:sz w:val="24"/>
          <w:szCs w:val="24"/>
          <w:lang w:val="en-US" w:eastAsia="zh-CN"/>
        </w:rPr>
        <w:t>；重点项目主要对接我省十大生态产业发展需求，凝练明确的科学问题，有针对性地开展源头创新，重点向创新基地倾斜。</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（2）杰出青年基金项目。立足我省优势学科和战略性新兴产业发展需求，着力发现和培养一批有望进入国家层次的优秀青年科技人才，加速我省高层次人才队伍建设。</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（3）基础研究创新群体项目。主要围绕国家和省级重点实验室建设发展需求，培养和造就一批在某一研究领域具有一定影响和优势的高水平人才团队。</w:t>
      </w:r>
    </w:p>
    <w:p>
      <w:pPr>
        <w:keepNext w:val="0"/>
        <w:keepLines w:val="0"/>
        <w:pageBreakBefore w:val="0"/>
        <w:widowControl w:val="0"/>
        <w:numPr>
          <w:ilvl w:val="0"/>
          <w:numId w:val="1"/>
        </w:numPr>
        <w:tabs>
          <w:tab w:val="left" w:pos="7322"/>
        </w:tabs>
        <w:kinsoku/>
        <w:wordWrap/>
        <w:overflowPunct/>
        <w:topLinePunct w:val="0"/>
        <w:autoSpaceDE/>
        <w:autoSpaceDN/>
        <w:bidi w:val="0"/>
        <w:spacing w:line="400" w:lineRule="exact"/>
        <w:ind w:firstLine="480" w:firstLineChars="200"/>
        <w:jc w:val="left"/>
        <w:textAlignment w:val="auto"/>
        <w:rPr>
          <w:rFonts w:hint="eastAsia"/>
          <w:lang w:val="en-US" w:eastAsia="zh-CN"/>
        </w:rPr>
      </w:pPr>
      <w:r>
        <w:rPr>
          <w:rFonts w:hint="eastAsia" w:ascii="宋体" w:hAnsi="宋体" w:eastAsia="宋体" w:cs="宋体"/>
          <w:sz w:val="24"/>
          <w:szCs w:val="24"/>
          <w:lang w:val="en-US" w:eastAsia="zh-CN"/>
        </w:rPr>
        <w:t>甘肃省高端外国专家引进计划。重点围绕高端外国专家在开展前沿领域研究、支撑引领产业转型升级、助推经济高质量发展等重大需求组织。</w:t>
      </w:r>
      <w:r>
        <w:rPr>
          <w:rFonts w:hint="eastAsia"/>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textAlignment w:val="auto"/>
        <w:rPr>
          <w:rFonts w:hint="eastAsia" w:asciiTheme="minorEastAsia" w:hAnsiTheme="minorEastAsia" w:cstheme="minorEastAsia"/>
          <w:b/>
          <w:bCs/>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cstheme="minorEastAsia"/>
          <w:b w:val="0"/>
          <w:bCs w:val="0"/>
          <w:sz w:val="24"/>
          <w:szCs w:val="24"/>
          <w:lang w:eastAsia="zh-CN"/>
        </w:rPr>
        <w:t>五</w:t>
      </w:r>
      <w:r>
        <w:rPr>
          <w:rFonts w:hint="eastAsia" w:asciiTheme="minorEastAsia" w:hAnsiTheme="minorEastAsia" w:eastAsiaTheme="minorEastAsia" w:cstheme="minorEastAsia"/>
          <w:b w:val="0"/>
          <w:bCs w:val="0"/>
          <w:sz w:val="24"/>
          <w:szCs w:val="24"/>
        </w:rPr>
        <w:t>、申报要求</w:t>
      </w:r>
    </w:p>
    <w:p>
      <w:pPr>
        <w:keepNext w:val="0"/>
        <w:keepLines w:val="0"/>
        <w:pageBreakBefore w:val="0"/>
        <w:widowControl w:val="0"/>
        <w:kinsoku/>
        <w:wordWrap/>
        <w:overflowPunct/>
        <w:topLinePunct w:val="0"/>
        <w:autoSpaceDE/>
        <w:autoSpaceDN/>
        <w:bidi w:val="0"/>
        <w:adjustRightInd w:val="0"/>
        <w:snapToGrid w:val="0"/>
        <w:spacing w:line="400" w:lineRule="exact"/>
        <w:ind w:firstLine="481"/>
        <w:textAlignment w:val="auto"/>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（一）总体要求</w:t>
      </w:r>
    </w:p>
    <w:p>
      <w:pPr>
        <w:keepNext w:val="0"/>
        <w:keepLines w:val="0"/>
        <w:pageBreakBefore w:val="0"/>
        <w:widowControl w:val="0"/>
        <w:kinsoku/>
        <w:wordWrap/>
        <w:overflowPunct/>
        <w:topLinePunct w:val="0"/>
        <w:autoSpaceDE/>
        <w:autoSpaceDN/>
        <w:bidi w:val="0"/>
        <w:adjustRightInd w:val="0"/>
        <w:snapToGrid w:val="0"/>
        <w:spacing w:line="400" w:lineRule="exact"/>
        <w:ind w:firstLine="481"/>
        <w:textAlignment w:val="auto"/>
        <w:rPr>
          <w:rFonts w:hint="default" w:asciiTheme="minorEastAsia" w:hAnsiTheme="minorEastAsia" w:eastAsia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本次申报</w:t>
      </w:r>
      <w:r>
        <w:rPr>
          <w:rFonts w:hint="eastAsia" w:asciiTheme="minorEastAsia" w:hAnsiTheme="minorEastAsia" w:cstheme="minorEastAsia"/>
          <w:b/>
          <w:bCs/>
          <w:sz w:val="24"/>
          <w:szCs w:val="24"/>
          <w:highlight w:val="yellow"/>
          <w:lang w:val="en-US" w:eastAsia="zh-CN"/>
        </w:rPr>
        <w:t>暂定</w:t>
      </w:r>
      <w:r>
        <w:rPr>
          <w:rFonts w:hint="eastAsia" w:asciiTheme="minorEastAsia" w:hAnsiTheme="minorEastAsia" w:cstheme="minorEastAsia"/>
          <w:b/>
          <w:bCs/>
          <w:sz w:val="24"/>
          <w:szCs w:val="24"/>
          <w:lang w:val="en-US" w:eastAsia="zh-CN"/>
        </w:rPr>
        <w:t>不限项。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（1）项目申请人已获得青年科技基金项目资助的，不得再次申请该类项目。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（2）项目申请人已获得“国家四青”、“西部之光”和省杰出青年基金项目等同层次或以上层次项目支持的，不得再次申请省杰出青年基金项目。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（3）每个重点实验室组织申报基础研究创新群体项目不超过1项，有在研该类项目的重点实验室，本年度不再推荐。</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b/>
          <w:bCs/>
          <w:sz w:val="24"/>
          <w:szCs w:val="24"/>
        </w:rPr>
        <w:t>省自然科学基金各类项目申请人限申报1项，尚未结题的项目负责人不得新申报项目；连续两年申请同类项目未获得资助的，本年度暂停申报同类型项目一年。</w:t>
      </w:r>
    </w:p>
    <w:p>
      <w:pPr>
        <w:keepNext w:val="0"/>
        <w:keepLines w:val="0"/>
        <w:pageBreakBefore w:val="0"/>
        <w:widowControl w:val="0"/>
        <w:kinsoku/>
        <w:wordWrap/>
        <w:overflowPunct/>
        <w:topLinePunct w:val="0"/>
        <w:autoSpaceDE/>
        <w:autoSpaceDN/>
        <w:bidi w:val="0"/>
        <w:adjustRightInd w:val="0"/>
        <w:snapToGrid/>
        <w:spacing w:line="400" w:lineRule="exact"/>
        <w:ind w:firstLine="480" w:firstLineChars="200"/>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（二）部分项目特别要求</w:t>
      </w:r>
    </w:p>
    <w:p>
      <w:pPr>
        <w:keepNext w:val="0"/>
        <w:keepLines w:val="0"/>
        <w:pageBreakBefore w:val="0"/>
        <w:widowControl w:val="0"/>
        <w:numPr>
          <w:ilvl w:val="0"/>
          <w:numId w:val="0"/>
        </w:numPr>
        <w:kinsoku/>
        <w:wordWrap/>
        <w:overflowPunct/>
        <w:topLinePunct w:val="0"/>
        <w:autoSpaceDE/>
        <w:autoSpaceDN/>
        <w:bidi w:val="0"/>
        <w:adjustRightInd w:val="0"/>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1. </w:t>
      </w:r>
      <w:r>
        <w:rPr>
          <w:rFonts w:hint="eastAsia" w:asciiTheme="minorEastAsia" w:hAnsiTheme="minorEastAsia" w:eastAsiaTheme="minorEastAsia" w:cstheme="minorEastAsia"/>
          <w:sz w:val="24"/>
          <w:szCs w:val="24"/>
        </w:rPr>
        <w:t>青年基金项目</w:t>
      </w:r>
    </w:p>
    <w:p>
      <w:pPr>
        <w:keepNext w:val="0"/>
        <w:keepLines w:val="0"/>
        <w:pageBreakBefore w:val="0"/>
        <w:widowControl w:val="0"/>
        <w:kinsoku/>
        <w:wordWrap/>
        <w:overflowPunct/>
        <w:topLinePunct w:val="0"/>
        <w:autoSpaceDE/>
        <w:autoSpaceDN/>
        <w:bidi w:val="0"/>
        <w:adjustRightInd w:val="0"/>
        <w:snapToGrid/>
        <w:spacing w:line="400" w:lineRule="exact"/>
        <w:ind w:firstLine="480" w:firstLineChars="200"/>
        <w:textAlignment w:val="auto"/>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eastAsia="zh-CN"/>
        </w:rPr>
        <w:t>①</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申请人不超过35岁</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1986年1月1日（含）以后出生</w:t>
      </w:r>
      <w:r>
        <w:rPr>
          <w:rFonts w:hint="eastAsia" w:asciiTheme="minorEastAsia" w:hAnsiTheme="minorEastAsia" w:cstheme="minor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②</w:t>
      </w:r>
      <w:r>
        <w:rPr>
          <w:rFonts w:hint="eastAsia" w:asciiTheme="minorEastAsia" w:hAnsiTheme="minorEastAsia" w:eastAsiaTheme="minorEastAsia" w:cstheme="minorEastAsia"/>
          <w:sz w:val="24"/>
          <w:szCs w:val="24"/>
        </w:rPr>
        <w:t>已获得省青年科技基金支持的，不得再次申请该类项目。</w:t>
      </w:r>
    </w:p>
    <w:p>
      <w:pPr>
        <w:keepNext w:val="0"/>
        <w:keepLines w:val="0"/>
        <w:pageBreakBefore w:val="0"/>
        <w:widowControl w:val="0"/>
        <w:numPr>
          <w:ilvl w:val="0"/>
          <w:numId w:val="0"/>
        </w:numPr>
        <w:kinsoku/>
        <w:wordWrap/>
        <w:overflowPunct/>
        <w:topLinePunct w:val="0"/>
        <w:autoSpaceDE/>
        <w:autoSpaceDN/>
        <w:bidi w:val="0"/>
        <w:adjustRightInd w:val="0"/>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一般项目、重点项目</w:t>
      </w:r>
      <w:r>
        <w:rPr>
          <w:rFonts w:hint="eastAsia" w:asciiTheme="minorEastAsia" w:hAnsiTheme="minorEastAsia" w:cstheme="minor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spacing w:line="400" w:lineRule="exact"/>
        <w:ind w:leftChars="20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一般项目申请者应具有高级专业技术职务或博士学位，或者</w:t>
      </w:r>
      <w:r>
        <w:rPr>
          <w:rFonts w:hint="eastAsia" w:ascii="宋体" w:hAnsi="宋体" w:eastAsia="宋体" w:cs="宋体"/>
          <w:b/>
          <w:bCs/>
          <w:sz w:val="24"/>
          <w:szCs w:val="24"/>
          <w:lang w:val="en-US" w:eastAsia="zh-CN"/>
        </w:rPr>
        <w:t>有两名与其研究领域相同、具有高级专业技术职务（职称）的科技人员推荐</w:t>
      </w:r>
      <w:r>
        <w:rPr>
          <w:rFonts w:hint="eastAsia" w:ascii="宋体" w:hAnsi="宋体" w:eastAsia="宋体" w:cs="宋体"/>
          <w:sz w:val="24"/>
          <w:szCs w:val="24"/>
          <w:lang w:val="en-US" w:eastAsia="zh-CN"/>
        </w:rPr>
        <w:t>（推荐书扫描后附在申请书最后）。重点项目申请者应具有高级专业技术职务或博士学位。</w:t>
      </w:r>
    </w:p>
    <w:p>
      <w:pPr>
        <w:keepNext w:val="0"/>
        <w:keepLines w:val="0"/>
        <w:pageBreakBefore w:val="0"/>
        <w:widowControl w:val="0"/>
        <w:numPr>
          <w:ilvl w:val="0"/>
          <w:numId w:val="0"/>
        </w:numPr>
        <w:kinsoku/>
        <w:wordWrap/>
        <w:overflowPunct/>
        <w:topLinePunct w:val="0"/>
        <w:autoSpaceDE/>
        <w:autoSpaceDN/>
        <w:bidi w:val="0"/>
        <w:adjustRightInd w:val="0"/>
        <w:snapToGrid/>
        <w:spacing w:line="400" w:lineRule="exact"/>
        <w:textAlignment w:val="auto"/>
        <w:rPr>
          <w:rFonts w:hint="eastAsia" w:asciiTheme="minorEastAsia" w:hAnsiTheme="minorEastAsia" w:eastAsiaTheme="minorEastAsia" w:cstheme="minorEastAsia"/>
          <w:sz w:val="24"/>
          <w:szCs w:val="24"/>
        </w:rPr>
      </w:pPr>
      <w:r>
        <w:rPr>
          <w:rFonts w:hint="eastAsia" w:ascii="宋体" w:hAnsi="宋体" w:eastAsia="宋体" w:cs="宋体"/>
          <w:sz w:val="24"/>
          <w:szCs w:val="24"/>
          <w:lang w:val="en-US" w:eastAsia="zh-CN"/>
        </w:rPr>
        <w:t>3.</w:t>
      </w:r>
      <w:r>
        <w:rPr>
          <w:rFonts w:hint="eastAsia" w:asciiTheme="minorEastAsia" w:hAnsiTheme="minorEastAsia" w:eastAsiaTheme="minorEastAsia" w:cstheme="minorEastAsia"/>
          <w:sz w:val="24"/>
          <w:szCs w:val="24"/>
        </w:rPr>
        <w:t>重大项目</w:t>
      </w:r>
      <w:r>
        <w:rPr>
          <w:rFonts w:hint="eastAsia" w:asciiTheme="minorEastAsia" w:hAnsiTheme="minorEastAsia" w:cstheme="minor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申请人应具有正高级专业技术职务（职称）。</w:t>
      </w:r>
    </w:p>
    <w:p>
      <w:pPr>
        <w:keepNext w:val="0"/>
        <w:keepLines w:val="0"/>
        <w:pageBreakBefore w:val="0"/>
        <w:widowControl w:val="0"/>
        <w:numPr>
          <w:ilvl w:val="0"/>
          <w:numId w:val="0"/>
        </w:numPr>
        <w:kinsoku/>
        <w:wordWrap/>
        <w:overflowPunct/>
        <w:topLinePunct w:val="0"/>
        <w:autoSpaceDE/>
        <w:autoSpaceDN/>
        <w:bidi w:val="0"/>
        <w:adjustRightInd w:val="0"/>
        <w:snapToGrid/>
        <w:spacing w:line="400" w:lineRule="exac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4.杰出青年基金项目（以下条件须均满足）：</w:t>
      </w:r>
    </w:p>
    <w:p>
      <w:pPr>
        <w:keepNext w:val="0"/>
        <w:keepLines w:val="0"/>
        <w:pageBreakBefore w:val="0"/>
        <w:widowControl w:val="0"/>
        <w:numPr>
          <w:ilvl w:val="0"/>
          <w:numId w:val="0"/>
        </w:numPr>
        <w:kinsoku/>
        <w:wordWrap/>
        <w:overflowPunct/>
        <w:topLinePunct w:val="0"/>
        <w:autoSpaceDE/>
        <w:autoSpaceDN/>
        <w:bidi w:val="0"/>
        <w:adjustRightInd w:val="0"/>
        <w:snapToGrid/>
        <w:spacing w:line="400" w:lineRule="exact"/>
        <w:ind w:leftChars="200" w:firstLine="240" w:firstLineChars="100"/>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项目申请人不超过38岁（1983年1月1日后出生），应具有高级专业技术职务（职称）或博士学位，有主持国家项目（课题）经历，近5年在本研究领域公认的重要期刊上发表有影响力的代表作3篇以上。</w:t>
      </w:r>
    </w:p>
    <w:p>
      <w:pPr>
        <w:keepNext w:val="0"/>
        <w:keepLines w:val="0"/>
        <w:pageBreakBefore w:val="0"/>
        <w:widowControl w:val="0"/>
        <w:numPr>
          <w:ilvl w:val="0"/>
          <w:numId w:val="0"/>
        </w:numPr>
        <w:kinsoku/>
        <w:wordWrap/>
        <w:overflowPunct/>
        <w:topLinePunct w:val="0"/>
        <w:autoSpaceDE/>
        <w:autoSpaceDN/>
        <w:bidi w:val="0"/>
        <w:adjustRightInd w:val="0"/>
        <w:snapToGrid/>
        <w:spacing w:line="400" w:lineRule="exact"/>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5.基础研究创新群体：</w:t>
      </w:r>
    </w:p>
    <w:p>
      <w:pPr>
        <w:keepNext w:val="0"/>
        <w:keepLines w:val="0"/>
        <w:pageBreakBefore w:val="0"/>
        <w:widowControl w:val="0"/>
        <w:tabs>
          <w:tab w:val="left" w:pos="7322"/>
        </w:tabs>
        <w:kinsoku/>
        <w:wordWrap/>
        <w:overflowPunct/>
        <w:topLinePunct w:val="0"/>
        <w:autoSpaceDE/>
        <w:autoSpaceDN/>
        <w:bidi w:val="0"/>
        <w:spacing w:line="4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项目申请人一般不超过50岁（1971年1月1日后出生），具有较高的学术造诣和较好的组织协调能力，有主持国家项目（课题）经历。项目申请单位为国家、省级重点实验室（在申请书中明确标注重点实验室名称）。</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eastAsia="zh-CN"/>
        </w:rPr>
        <w:t>六</w:t>
      </w:r>
      <w:r>
        <w:rPr>
          <w:rFonts w:hint="eastAsia" w:asciiTheme="minorEastAsia" w:hAnsiTheme="minorEastAsia" w:eastAsiaTheme="minorEastAsia" w:cstheme="minorEastAsia"/>
          <w:b/>
          <w:bCs/>
          <w:sz w:val="24"/>
          <w:szCs w:val="24"/>
        </w:rPr>
        <w:t>、申报时间及流程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依据《甘肃省科技计划项目管理办法》等规定，202</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年度甘肃省科技计划项目组织管理工作具体要求如下。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（一）申报时间</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推荐受理</w:t>
      </w:r>
      <w:r>
        <w:rPr>
          <w:rFonts w:hint="eastAsia" w:asciiTheme="minorEastAsia" w:hAnsiTheme="minorEastAsia" w:cstheme="minorEastAsia"/>
          <w:sz w:val="24"/>
          <w:szCs w:val="24"/>
          <w:lang w:eastAsia="zh-CN"/>
        </w:rPr>
        <w:t>截止时间：</w:t>
      </w:r>
      <w:r>
        <w:rPr>
          <w:rFonts w:hint="eastAsia" w:asciiTheme="minorEastAsia" w:hAnsiTheme="minorEastAsia" w:cstheme="minorEastAsia"/>
          <w:b/>
          <w:bCs/>
          <w:sz w:val="24"/>
          <w:szCs w:val="24"/>
          <w:highlight w:val="yellow"/>
          <w:lang w:val="en-US" w:eastAsia="zh-CN"/>
        </w:rPr>
        <w:t>2020年4月18日中午12:00(暂定)</w:t>
      </w:r>
      <w:r>
        <w:rPr>
          <w:rFonts w:hint="eastAsia" w:asciiTheme="minorEastAsia" w:hAnsi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（二）申报流程</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1.申报。</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通过甘肃省科技计划管理信息系统进行网上注册</w:t>
      </w:r>
      <w:r>
        <w:rPr>
          <w:rFonts w:hint="eastAsia" w:asciiTheme="minorEastAsia" w:hAnsiTheme="minorEastAsia" w:cstheme="minorEastAsia"/>
          <w:sz w:val="24"/>
          <w:szCs w:val="24"/>
          <w:lang w:eastAsia="zh-CN"/>
        </w:rPr>
        <w:t>（请致电科技处）</w:t>
      </w:r>
      <w:r>
        <w:rPr>
          <w:rFonts w:hint="eastAsia" w:asciiTheme="minorEastAsia" w:hAnsiTheme="minorEastAsia" w:eastAsiaTheme="minorEastAsia" w:cstheme="minorEastAsia"/>
          <w:sz w:val="24"/>
          <w:szCs w:val="24"/>
        </w:rPr>
        <w:t>和申报（网址：http://kjt.gansu.gov.cn/program）。</w:t>
      </w:r>
    </w:p>
    <w:p>
      <w:pPr>
        <w:keepNext w:val="0"/>
        <w:keepLines w:val="0"/>
        <w:pageBreakBefore w:val="0"/>
        <w:widowControl w:val="0"/>
        <w:kinsoku/>
        <w:wordWrap/>
        <w:overflowPunct/>
        <w:topLinePunct w:val="0"/>
        <w:autoSpaceDE/>
        <w:autoSpaceDN/>
        <w:bidi w:val="0"/>
        <w:adjustRightInd/>
        <w:snapToGrid w:val="0"/>
        <w:spacing w:line="40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涉密项目不得通过网上申报。</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2.初审推荐。</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我院</w:t>
      </w:r>
      <w:r>
        <w:rPr>
          <w:rFonts w:hint="eastAsia" w:asciiTheme="minorEastAsia" w:hAnsiTheme="minorEastAsia" w:eastAsiaTheme="minorEastAsia" w:cstheme="minorEastAsia"/>
          <w:sz w:val="24"/>
          <w:szCs w:val="24"/>
        </w:rPr>
        <w:t>申报的项目由</w:t>
      </w:r>
      <w:r>
        <w:rPr>
          <w:rFonts w:hint="eastAsia" w:asciiTheme="minorEastAsia" w:hAnsiTheme="minorEastAsia" w:cstheme="minorEastAsia"/>
          <w:sz w:val="24"/>
          <w:szCs w:val="24"/>
          <w:lang w:eastAsia="zh-CN"/>
        </w:rPr>
        <w:t>科技处</w:t>
      </w:r>
      <w:r>
        <w:rPr>
          <w:rFonts w:hint="eastAsia" w:asciiTheme="minorEastAsia" w:hAnsiTheme="minorEastAsia" w:eastAsiaTheme="minorEastAsia" w:cstheme="minorEastAsia"/>
          <w:sz w:val="24"/>
          <w:szCs w:val="24"/>
        </w:rPr>
        <w:t>初审和推荐。</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3.审核受理。</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省科技厅有关主管部门会同项目管理专业机构对通过推荐的项目进行审核受理。按程序组织项目论证评审。</w:t>
      </w:r>
    </w:p>
    <w:p>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4.材料报送。</w:t>
      </w:r>
    </w:p>
    <w:p>
      <w:pPr>
        <w:keepNext w:val="0"/>
        <w:keepLines w:val="0"/>
        <w:pageBreakBefore w:val="0"/>
        <w:widowControl w:val="0"/>
        <w:numPr>
          <w:ilvl w:val="0"/>
          <w:numId w:val="0"/>
        </w:numPr>
        <w:tabs>
          <w:tab w:val="left" w:pos="7322"/>
        </w:tabs>
        <w:kinsoku/>
        <w:wordWrap/>
        <w:overflowPunct/>
        <w:topLinePunct w:val="0"/>
        <w:autoSpaceDE/>
        <w:autoSpaceDN/>
        <w:bidi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（1）申报项目经推荐单位审核推荐。</w:t>
      </w:r>
    </w:p>
    <w:p>
      <w:pPr>
        <w:keepNext w:val="0"/>
        <w:keepLines w:val="0"/>
        <w:pageBreakBefore w:val="0"/>
        <w:widowControl w:val="0"/>
        <w:numPr>
          <w:ilvl w:val="0"/>
          <w:numId w:val="0"/>
        </w:numPr>
        <w:tabs>
          <w:tab w:val="left" w:pos="7322"/>
        </w:tabs>
        <w:kinsoku/>
        <w:wordWrap/>
        <w:overflowPunct/>
        <w:topLinePunct w:val="0"/>
        <w:autoSpaceDE/>
        <w:autoSpaceDN/>
        <w:bidi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（2）科技重大专项计划、</w:t>
      </w:r>
      <w:r>
        <w:rPr>
          <w:rFonts w:hint="eastAsia" w:asciiTheme="minorEastAsia" w:hAnsiTheme="minorEastAsia" w:eastAsiaTheme="minorEastAsia" w:cstheme="minorEastAsia"/>
          <w:b/>
          <w:bCs/>
          <w:sz w:val="24"/>
          <w:szCs w:val="24"/>
        </w:rPr>
        <w:t>重点研发计划</w:t>
      </w:r>
      <w:r>
        <w:rPr>
          <w:rFonts w:hint="eastAsia" w:asciiTheme="minorEastAsia" w:hAnsiTheme="minorEastAsia" w:eastAsiaTheme="minorEastAsia" w:cstheme="minorEastAsia"/>
          <w:sz w:val="24"/>
          <w:szCs w:val="24"/>
        </w:rPr>
        <w:t>需在项目申报系统上传项目实施基础条件相关视频及照片（视频播放时长限制在3至5分钟，大小不超过30M；照片不超过3张，合计大小不超过10M）后，方可提交项目电子申报书。</w:t>
      </w:r>
    </w:p>
    <w:p>
      <w:pPr>
        <w:keepNext w:val="0"/>
        <w:keepLines w:val="0"/>
        <w:pageBreakBefore w:val="0"/>
        <w:widowControl w:val="0"/>
        <w:numPr>
          <w:ilvl w:val="0"/>
          <w:numId w:val="2"/>
        </w:numPr>
        <w:tabs>
          <w:tab w:val="left" w:pos="7322"/>
        </w:tabs>
        <w:kinsoku/>
        <w:wordWrap/>
        <w:overflowPunct/>
        <w:topLinePunct w:val="0"/>
        <w:autoSpaceDE/>
        <w:autoSpaceDN/>
        <w:bidi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省自然科学基金各类项目、杰出青年基金和基础研究创新群体项目申请人申请材料以网上申请材料为准，不报送纸质文本</w:t>
      </w:r>
      <w:r>
        <w:rPr>
          <w:rFonts w:hint="eastAsia" w:asciiTheme="minorEastAsia" w:hAnsiTheme="minorEastAsia" w:eastAsiaTheme="minorEastAsia" w:cstheme="minorEastAsia"/>
          <w:sz w:val="24"/>
          <w:szCs w:val="24"/>
        </w:rPr>
        <w:t>。</w:t>
      </w:r>
    </w:p>
    <w:p>
      <w:pPr>
        <w:keepNext w:val="0"/>
        <w:keepLines w:val="0"/>
        <w:pageBreakBefore w:val="0"/>
        <w:widowControl w:val="0"/>
        <w:numPr>
          <w:ilvl w:val="0"/>
          <w:numId w:val="0"/>
        </w:numPr>
        <w:tabs>
          <w:tab w:val="left" w:pos="7322"/>
        </w:tabs>
        <w:kinsoku/>
        <w:wordWrap/>
        <w:overflowPunct/>
        <w:topLinePunct w:val="0"/>
        <w:autoSpaceDE/>
        <w:autoSpaceDN/>
        <w:bidi w:val="0"/>
        <w:spacing w:line="400" w:lineRule="exact"/>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联系人：陈群飞</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刘扬</w:t>
      </w:r>
      <w:r>
        <w:rPr>
          <w:rFonts w:hint="eastAsia" w:asciiTheme="minorEastAsia" w:hAnsiTheme="minorEastAsia" w:eastAsiaTheme="minorEastAsia" w:cstheme="minorEastAsia"/>
          <w:sz w:val="24"/>
          <w:szCs w:val="24"/>
        </w:rPr>
        <w:t xml:space="preserve">  严毅   李遂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联系电话：8942722</w:t>
      </w:r>
    </w:p>
    <w:p>
      <w:pPr>
        <w:keepNext w:val="0"/>
        <w:keepLines w:val="0"/>
        <w:pageBreakBefore w:val="0"/>
        <w:widowControl w:val="0"/>
        <w:numPr>
          <w:ilvl w:val="0"/>
          <w:numId w:val="0"/>
        </w:numPr>
        <w:tabs>
          <w:tab w:val="left" w:pos="7322"/>
        </w:tabs>
        <w:kinsoku/>
        <w:wordWrap/>
        <w:overflowPunct/>
        <w:topLinePunct w:val="0"/>
        <w:autoSpaceDE/>
        <w:autoSpaceDN/>
        <w:bidi w:val="0"/>
        <w:spacing w:line="400" w:lineRule="exact"/>
        <w:ind w:firstLine="480" w:firstLineChars="200"/>
        <w:jc w:val="left"/>
        <w:textAlignment w:val="auto"/>
        <w:rPr>
          <w:rFonts w:hint="eastAsia" w:asciiTheme="minorEastAsia" w:hAnsiTheme="minorEastAsia" w:cstheme="minorEastAsia"/>
          <w:sz w:val="24"/>
          <w:szCs w:val="24"/>
          <w:lang w:eastAsia="zh-CN"/>
        </w:rPr>
      </w:pPr>
    </w:p>
    <w:p>
      <w:pPr>
        <w:keepNext w:val="0"/>
        <w:keepLines w:val="0"/>
        <w:pageBreakBefore w:val="0"/>
        <w:widowControl w:val="0"/>
        <w:numPr>
          <w:ilvl w:val="0"/>
          <w:numId w:val="0"/>
        </w:numPr>
        <w:tabs>
          <w:tab w:val="left" w:pos="7322"/>
        </w:tabs>
        <w:kinsoku/>
        <w:wordWrap/>
        <w:overflowPunct/>
        <w:topLinePunct w:val="0"/>
        <w:autoSpaceDE/>
        <w:autoSpaceDN/>
        <w:bidi w:val="0"/>
        <w:spacing w:line="400" w:lineRule="exact"/>
        <w:ind w:firstLine="420" w:firstLineChars="200"/>
        <w:jc w:val="left"/>
        <w:textAlignment w:val="auto"/>
      </w:pPr>
      <w:r>
        <w:drawing>
          <wp:anchor distT="0" distB="0" distL="114300" distR="114300" simplePos="0" relativeHeight="251660288" behindDoc="1" locked="0" layoutInCell="1" allowOverlap="1">
            <wp:simplePos x="0" y="0"/>
            <wp:positionH relativeFrom="column">
              <wp:posOffset>60960</wp:posOffset>
            </wp:positionH>
            <wp:positionV relativeFrom="paragraph">
              <wp:posOffset>-7255510</wp:posOffset>
            </wp:positionV>
            <wp:extent cx="4825365" cy="8888730"/>
            <wp:effectExtent l="0" t="0" r="13335" b="7620"/>
            <wp:wrapTight wrapText="bothSides">
              <wp:wrapPolygon>
                <wp:start x="0" y="0"/>
                <wp:lineTo x="0" y="21572"/>
                <wp:lineTo x="21489" y="21572"/>
                <wp:lineTo x="21489"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4825365" cy="8888730"/>
                    </a:xfrm>
                    <a:prstGeom prst="rect">
                      <a:avLst/>
                    </a:prstGeom>
                    <a:noFill/>
                    <a:ln>
                      <a:noFill/>
                    </a:ln>
                  </pic:spPr>
                </pic:pic>
              </a:graphicData>
            </a:graphic>
          </wp:anchor>
        </w:drawing>
      </w:r>
    </w:p>
    <w:p>
      <w:pPr>
        <w:bidi w:val="0"/>
        <w:rPr>
          <w:rFonts w:hint="default" w:asciiTheme="minorHAnsi" w:hAnsiTheme="minorHAnsi" w:eastAsiaTheme="minorEastAsia" w:cstheme="minorBidi"/>
          <w:kern w:val="2"/>
          <w:sz w:val="21"/>
          <w:szCs w:val="24"/>
          <w:lang w:val="en-US" w:eastAsia="zh-CN" w:bidi="ar-SA"/>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keepNext w:val="0"/>
        <w:keepLines w:val="0"/>
        <w:pageBreakBefore w:val="0"/>
        <w:widowControl w:val="0"/>
        <w:numPr>
          <w:ilvl w:val="0"/>
          <w:numId w:val="0"/>
        </w:numPr>
        <w:tabs>
          <w:tab w:val="left" w:pos="7322"/>
        </w:tabs>
        <w:kinsoku/>
        <w:wordWrap/>
        <w:overflowPunct/>
        <w:topLinePunct w:val="0"/>
        <w:autoSpaceDE/>
        <w:autoSpaceDN/>
        <w:bidi w:val="0"/>
        <w:spacing w:line="400" w:lineRule="exact"/>
        <w:ind w:firstLine="480" w:firstLineChars="200"/>
        <w:jc w:val="left"/>
        <w:textAlignment w:val="auto"/>
        <w:rPr>
          <w:rFonts w:hint="eastAsia" w:asciiTheme="minorEastAsia" w:hAnsiTheme="minorEastAsia" w:cstheme="minorEastAsia"/>
          <w:sz w:val="24"/>
          <w:szCs w:val="24"/>
          <w:lang w:eastAsia="zh-CN"/>
        </w:rPr>
      </w:pPr>
      <w:r>
        <w:rPr>
          <w:rFonts w:hint="eastAsia" w:asciiTheme="minorEastAsia" w:hAnsiTheme="minorEastAsia" w:eastAsiaTheme="minorEastAsia" w:cstheme="minorEastAsia"/>
          <w:sz w:val="24"/>
          <w:szCs w:val="24"/>
        </w:rPr>
        <w:t>科技厅通知链接</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eastAsia="zh-CN"/>
        </w:rPr>
        <w:fldChar w:fldCharType="begin"/>
      </w:r>
      <w:r>
        <w:rPr>
          <w:rFonts w:hint="eastAsia" w:asciiTheme="minorEastAsia" w:hAnsiTheme="minorEastAsia" w:cstheme="minorEastAsia"/>
          <w:sz w:val="24"/>
          <w:szCs w:val="24"/>
          <w:lang w:eastAsia="zh-CN"/>
        </w:rPr>
        <w:instrText xml:space="preserve"> HYPERLINK "https://kjt.gansu.gov.cn/News_Notice/detail.php?n_no=376504&amp;dir=/%D0%C2%CE%C5%B9%AB%B8%E6/%CD%A8%D6%AA%B9%AB%B8%E6" </w:instrText>
      </w:r>
      <w:r>
        <w:rPr>
          <w:rFonts w:hint="eastAsia" w:asciiTheme="minorEastAsia" w:hAnsiTheme="minorEastAsia" w:cstheme="minorEastAsia"/>
          <w:sz w:val="24"/>
          <w:szCs w:val="24"/>
          <w:lang w:eastAsia="zh-CN"/>
        </w:rPr>
        <w:fldChar w:fldCharType="separate"/>
      </w:r>
      <w:r>
        <w:rPr>
          <w:rStyle w:val="5"/>
          <w:rFonts w:hint="eastAsia" w:asciiTheme="minorEastAsia" w:hAnsiTheme="minorEastAsia" w:cstheme="minorEastAsia"/>
          <w:sz w:val="24"/>
          <w:szCs w:val="24"/>
          <w:lang w:eastAsia="zh-CN"/>
        </w:rPr>
        <w:t>https://kjt.gansu.gov.cn/News_Notice/detail.php?n_no=376504&amp;dir=/%D0%C2%CE%C5%B9%AB%B8%E6/%CD%A8%D6%AA%B9%AB%B8%E6</w:t>
      </w:r>
      <w:r>
        <w:rPr>
          <w:rFonts w:hint="eastAsia" w:asciiTheme="minorEastAsia" w:hAnsiTheme="minorEastAsia" w:cstheme="minorEastAsia"/>
          <w:sz w:val="24"/>
          <w:szCs w:val="24"/>
          <w:lang w:eastAsia="zh-CN"/>
        </w:rPr>
        <w:fldChar w:fldCharType="end"/>
      </w:r>
    </w:p>
    <w:p>
      <w:pPr>
        <w:keepNext w:val="0"/>
        <w:keepLines w:val="0"/>
        <w:pageBreakBefore w:val="0"/>
        <w:widowControl w:val="0"/>
        <w:kinsoku/>
        <w:wordWrap w:val="0"/>
        <w:overflowPunct/>
        <w:topLinePunct w:val="0"/>
        <w:autoSpaceDE/>
        <w:autoSpaceDN/>
        <w:bidi w:val="0"/>
        <w:adjustRightInd/>
        <w:snapToGrid w:val="0"/>
        <w:spacing w:line="400" w:lineRule="exact"/>
        <w:jc w:val="center"/>
        <w:textAlignment w:val="auto"/>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w:t>
      </w:r>
      <w:r>
        <w:rPr>
          <w:rFonts w:hint="eastAsia" w:asciiTheme="minorEastAsia" w:hAnsiTheme="minorEastAsia" w:cstheme="minorEastAsia"/>
          <w:sz w:val="24"/>
          <w:szCs w:val="24"/>
          <w:lang w:eastAsia="zh-CN"/>
        </w:rPr>
        <w:t>科技处</w:t>
      </w:r>
      <w:r>
        <w:rPr>
          <w:rFonts w:hint="eastAsia" w:asciiTheme="minorEastAsia" w:hAnsiTheme="minorEastAsia" w:cstheme="minor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400" w:lineRule="exact"/>
        <w:jc w:val="right"/>
        <w:textAlignment w:val="auto"/>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2021年3月</w:t>
      </w:r>
      <w:bookmarkStart w:id="0" w:name="_GoBack"/>
      <w:bookmarkEnd w:id="0"/>
      <w:r>
        <w:rPr>
          <w:rFonts w:hint="eastAsia" w:asciiTheme="minorEastAsia" w:hAnsiTheme="minorEastAsia" w:cstheme="minorEastAsia"/>
          <w:sz w:val="24"/>
          <w:szCs w:val="24"/>
          <w:lang w:val="en-US" w:eastAsia="zh-CN"/>
        </w:rPr>
        <w:t>26日</w:t>
      </w:r>
    </w:p>
    <w:p>
      <w:pPr>
        <w:bidi w:val="0"/>
        <w:jc w:val="right"/>
        <w:rPr>
          <w:rFonts w:hint="default"/>
          <w:lang w:val="en-US" w:eastAsia="zh-CN"/>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86E0D4"/>
    <w:multiLevelType w:val="singleLevel"/>
    <w:tmpl w:val="C586E0D4"/>
    <w:lvl w:ilvl="0" w:tentative="0">
      <w:start w:val="4"/>
      <w:numFmt w:val="decimal"/>
      <w:suff w:val="nothing"/>
      <w:lvlText w:val="（%1）"/>
      <w:lvlJc w:val="left"/>
    </w:lvl>
  </w:abstractNum>
  <w:abstractNum w:abstractNumId="1">
    <w:nsid w:val="F0F30284"/>
    <w:multiLevelType w:val="singleLevel"/>
    <w:tmpl w:val="F0F30284"/>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F7BB5"/>
    <w:rsid w:val="0D5F0171"/>
    <w:rsid w:val="0FBF2944"/>
    <w:rsid w:val="12ED42F9"/>
    <w:rsid w:val="17CA0231"/>
    <w:rsid w:val="21055B48"/>
    <w:rsid w:val="22A42CDE"/>
    <w:rsid w:val="25DE482C"/>
    <w:rsid w:val="2C99264D"/>
    <w:rsid w:val="4A2C7EFA"/>
    <w:rsid w:val="54FF0C53"/>
    <w:rsid w:val="557F7B3B"/>
    <w:rsid w:val="55D0232C"/>
    <w:rsid w:val="5FF11D6B"/>
    <w:rsid w:val="6C677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2020-03-05T00:35:00Z</dcterms:created>
  <dc:creator>Administrator</dc:creator>
  <cp:lastModifiedBy>Administrator</cp:lastModifiedBy>
  <cp:lastPrinted>2020-03-05T01:27:00Z</cp:lastPrinted>
  <dcterms:modified xsi:type="dcterms:W3CDTF">2021-12-31T01:03:04Z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95CF8C623ED04A019C7D3DEE0201420C</vt:lpwstr>
  </property>
</Properties>
</file>