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BA071E">
      <w:pPr>
        <w:jc w:val="left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附件一：</w:t>
      </w:r>
    </w:p>
    <w:p w14:paraId="05DE6B87"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气体灭火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系统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钢瓶检测、药剂充装及系统维护服务项目技术服务需求</w:t>
      </w:r>
    </w:p>
    <w:p w14:paraId="08EBD179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一、项目概述</w:t>
      </w:r>
    </w:p>
    <w:p w14:paraId="4BFD9636">
      <w:pPr>
        <w:ind w:firstLine="640" w:firstLineChars="200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本项目是对兰州大学第二医院1号楼、2号楼、5号楼、萃英花园、萃英雅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园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等区域的气体灭火系统钢瓶进行定期安全检测、七氟丙烷药剂充装及系统维护服务。根据《气瓶安全技术规程》（TSG 23-2021）规定，气体灭火系统钢瓶每3年须进行一次定期检验，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距上次我院检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测已临近三年，需重新对全部钢瓶进行检测、维护及充装，确保系统时刻处于完好有效状态。</w:t>
      </w:r>
    </w:p>
    <w:p w14:paraId="6EA5A113">
      <w:pP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二、执行标准</w:t>
      </w:r>
    </w:p>
    <w:p w14:paraId="23EACBEB">
      <w:pPr>
        <w:ind w:firstLine="640" w:firstLineChars="200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供应商须严格执行以下现行有效标准（如标准更新，以最新版本为准）：</w:t>
      </w:r>
    </w:p>
    <w:p w14:paraId="17911BED">
      <w:pPr>
        <w:ind w:left="638" w:leftChars="304" w:firstLine="0" w:firstLineChars="0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1.《气瓶安全技术规程》（TSG 23-2021）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br w:type="textWrapping"/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2.《气体灭火系统及部件》（GB 25972-2024）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br w:type="textWrapping"/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3.《建筑消防设施的维护管理》（GB 25201-2010）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br w:type="textWrapping"/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4.《建筑消防设施检测技术规范》（GB/T 44481-2024）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br w:type="textWrapping"/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5.《柜式气体灭火装置》（GB 16670-2025）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br w:type="textWrapping"/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6.《气体灭火系统灭火剂充装规定》（XF 1203）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br w:type="textWrapping"/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7.《七氟丙烷（HFC227ea）灭火剂》（GB 18614）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br w:type="textWrapping"/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8.《气体灭火系统施工及验收规范》（GB 50263-2007）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br w:type="textWrapping"/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9.《气体灭火系统设计规范》（GB 50370-2005）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br w:type="textWrapping"/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10.《钢质焊接气瓶定期检验与评定》（GB/T 13075）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br w:type="textWrapping"/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11.《气瓶警示标签》（GB 16804）</w:t>
      </w:r>
    </w:p>
    <w:p w14:paraId="0853CFE0">
      <w:pP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三、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服务范围</w:t>
      </w:r>
    </w:p>
    <w:p w14:paraId="5A17E9B1">
      <w:pPr>
        <w:ind w:firstLine="640" w:firstLineChars="200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服务范围涵盖钢瓶拆卸、运输、检测、药剂充装、安装复位及系统调试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维护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全流程。</w:t>
      </w:r>
    </w:p>
    <w:p w14:paraId="27C4157F">
      <w:pP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四、检测内容及要求</w:t>
      </w:r>
    </w:p>
    <w:p w14:paraId="642256ED">
      <w:pPr>
        <w:ind w:firstLine="640" w:firstLineChars="200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（一）钢瓶定期检验</w:t>
      </w:r>
    </w:p>
    <w:p w14:paraId="0C84585C">
      <w:pPr>
        <w:ind w:firstLine="640" w:firstLineChars="200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气瓶定期检验项目包括：外观检查、瓶口螺纹检查、内部检查、壁厚测定、阀座与塞座检查、容积测定、水压试验、瓶阀和安全泄压装置检验、气密性试验。</w:t>
      </w:r>
    </w:p>
    <w:p w14:paraId="16436681">
      <w:pPr>
        <w:ind w:firstLine="640" w:firstLineChars="200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1.外观检查：逐只检查钢瓶外表有无裂纹、凹陷、鼓包、明显损伤、变形、腐蚀及焊缝缺陷。</w:t>
      </w:r>
    </w:p>
    <w:p w14:paraId="4851844E">
      <w:pPr>
        <w:ind w:firstLine="640" w:firstLineChars="200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2.瓶口螺纹检查：螺纹不得有裂纹、缺损、腐蚀或磨损。</w:t>
      </w:r>
    </w:p>
    <w:p w14:paraId="022E367F">
      <w:pPr>
        <w:ind w:firstLine="640" w:firstLineChars="200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3.内部检查：对钢瓶内部进行彻底清洁，使用内窥镜等工具检查内壁及内部组件完好性，确保无腐蚀、堵塞或损坏。</w:t>
      </w:r>
    </w:p>
    <w:p w14:paraId="68BC6496">
      <w:pPr>
        <w:ind w:firstLine="640" w:firstLineChars="200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4.壁厚测定：采用超声波测厚仪测定瓶体最小壁厚，腐蚀量不得超过公称壁厚的10%。</w:t>
      </w:r>
    </w:p>
    <w:p w14:paraId="1D802EFF">
      <w:pPr>
        <w:ind w:firstLine="640" w:firstLineChars="200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5.阀座与塞座检查：不得有裂纹、变形或腐蚀。</w:t>
      </w:r>
    </w:p>
    <w:p w14:paraId="50C2545E">
      <w:pPr>
        <w:ind w:firstLine="640" w:firstLineChars="200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6.容积测定：容积测定值不得小于制造标志值的95%。</w:t>
      </w:r>
    </w:p>
    <w:p w14:paraId="5EDC73EC">
      <w:pPr>
        <w:ind w:firstLine="640" w:firstLineChars="200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7.水压试验：按标准要求进行水压试验，残余变形率不得超过10%。</w:t>
      </w:r>
    </w:p>
    <w:p w14:paraId="7AFB55D3">
      <w:pPr>
        <w:ind w:firstLine="640" w:firstLineChars="200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8.气密性试验：水压试验合格后进行气密性试验，确保无泄漏。</w:t>
      </w:r>
    </w:p>
    <w:p w14:paraId="2CC5FF59">
      <w:pPr>
        <w:ind w:firstLine="640" w:firstLineChars="200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9.瓶阀及附件检测：对瓶阀解体清洗，检查密封面、弹簧、阀芯，对老化失效部件予以更换；检查安全泄压装置完好性；更换老化密封圈及压力表；检查虹吸管通畅性。对下次检验日期前超出设计使用年限的瓶阀予以更换。</w:t>
      </w:r>
    </w:p>
    <w:p w14:paraId="16C13B6E">
      <w:pPr>
        <w:ind w:firstLine="640" w:firstLineChars="200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（二）灭火剂质量检测与充装</w:t>
      </w:r>
    </w:p>
    <w:p w14:paraId="32ACD8E5">
      <w:pPr>
        <w:ind w:firstLine="640" w:firstLineChars="200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1.七氟丙烷灭火剂纯度不低于99.6%（摩尔/摩尔），水分含量不高于10ppm，酸度不高于3ppm，不挥发残留物不高于0.01%，悬浮或沉淀物不可见，充装压力4.2MPa（20℃时），充装系数不应大于1.16kg/L。</w:t>
      </w:r>
    </w:p>
    <w:p w14:paraId="4DC42BBF">
      <w:pPr>
        <w:ind w:firstLine="640" w:firstLineChars="200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2.采用称重法检查单瓶灭火剂损失量，压力衰减不超过5%/年，且储存压力不得小于设计储存压力的90%。</w:t>
      </w:r>
    </w:p>
    <w:p w14:paraId="1A0C0AB4">
      <w:pPr>
        <w:ind w:firstLine="640" w:firstLineChars="200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3.须对所有抽取的原药剂进行检测，合格者继续使用，不合格者全量更换。严禁使用其他回收药剂或不合格药剂。充装过程全程视频录像备查，录像须清晰记录钢瓶编号、药剂批次、充装操作、气密性校验全过程。</w:t>
      </w:r>
    </w:p>
    <w:p w14:paraId="74D63275">
      <w:pPr>
        <w:ind w:firstLine="640" w:firstLineChars="200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4.驱动气体氮气纯度不低于99.5%，充装压力6.0MPa。</w:t>
      </w:r>
    </w:p>
    <w:p w14:paraId="5CF1C4E4">
      <w:pPr>
        <w:ind w:firstLine="640" w:firstLineChars="200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（三）驱动装置检测</w:t>
      </w:r>
    </w:p>
    <w:p w14:paraId="3E4F8EAD">
      <w:pPr>
        <w:ind w:firstLine="640" w:firstLineChars="200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1.检测电磁驱动器通电性能及动作灵敏度。电磁启动装置在24V直流电压下，动作时间应小于100ms。</w:t>
      </w:r>
    </w:p>
    <w:p w14:paraId="7CDCCE3D">
      <w:pPr>
        <w:ind w:firstLine="640" w:firstLineChars="200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2.检查手动启动机构、传动部件的灵活性，有无卡滞、锈蚀。</w:t>
      </w:r>
    </w:p>
    <w:p w14:paraId="7CF6066A">
      <w:pPr>
        <w:ind w:firstLine="640" w:firstLineChars="200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3.驱动气体瓶组参照灭火剂瓶组标准进行全面检测。</w:t>
      </w:r>
    </w:p>
    <w:p w14:paraId="2D98EF0B">
      <w:pPr>
        <w:ind w:firstLine="640" w:firstLineChars="200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（四）喷嘴及管网检测</w:t>
      </w:r>
    </w:p>
    <w:p w14:paraId="1756EB89">
      <w:pPr>
        <w:ind w:firstLine="640" w:firstLineChars="200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1.检查喷嘴有无变形、破损、堵塞，安装位置及喷孔方向是否与设计要求一致。</w:t>
      </w:r>
    </w:p>
    <w:p w14:paraId="339A1A77">
      <w:pPr>
        <w:ind w:firstLine="640" w:firstLineChars="200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2.检查管道有无腐蚀、变形、破损，接口密封性能，进行压力试验。</w:t>
      </w:r>
    </w:p>
    <w:p w14:paraId="3C8058B4">
      <w:pPr>
        <w:ind w:firstLine="640" w:firstLineChars="200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3.高压软管无变形、裂纹及老化。自安装之日起每3年应对金属软管进行水压强度试验和气密性试验。</w:t>
      </w:r>
    </w:p>
    <w:p w14:paraId="1D50147C">
      <w:pPr>
        <w:ind w:firstLine="640" w:firstLineChars="200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（五）控制与联动系统检测</w:t>
      </w:r>
    </w:p>
    <w:p w14:paraId="479E5096">
      <w:pPr>
        <w:ind w:firstLine="640" w:firstLineChars="200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1.气体灭火控制器自检、主备电源转换、自动/手动转换功能正常。</w:t>
      </w:r>
    </w:p>
    <w:p w14:paraId="0837F57A">
      <w:pPr>
        <w:ind w:firstLine="640" w:firstLineChars="200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2.探测器灵敏度及响应速度检测。触发防护区两只独立火灾探测器后，控制器应在30秒内发出声光报警并启动联动设备。</w:t>
      </w:r>
    </w:p>
    <w:p w14:paraId="7557BB71">
      <w:pPr>
        <w:ind w:firstLine="640" w:firstLineChars="200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3.模拟启动试验验证系统联动逻辑及延时启动功能。每个防护区进行一次模拟自动喷气试验。</w:t>
      </w:r>
    </w:p>
    <w:p w14:paraId="7394F7C1">
      <w:pPr>
        <w:ind w:firstLine="640" w:firstLineChars="200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4.信号反馈装置显示正确。卸下压力信号反馈装置，人工推动活塞模拟灭火剂喷放受压，喷放指示灯应亮，信号应正常反馈并能自动复位。</w:t>
      </w:r>
    </w:p>
    <w:p w14:paraId="2AE876CE">
      <w:pP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五、报告要求</w:t>
      </w:r>
    </w:p>
    <w:p w14:paraId="321EF792">
      <w:pPr>
        <w:ind w:firstLine="640" w:firstLineChars="200"/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在检测、充装及维护服务全过程中，须按照《气瓶安全技术规程》（TSG 23-2021）、《气体灭火系统施工及验收规范》（GB 50263-2007）等相关法律法规及标准要求，出具各类检测报告。报告须由具备相应资质的机构或人员签署、盖章，确保合法有效。无有效检测报告的钢瓶，不得投入使用。供应商须对检测报告的真实性、合法性承担全部法律责任。</w:t>
      </w:r>
    </w:p>
    <w:p w14:paraId="498B68F8">
      <w:pP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六、气体灭火系统钢瓶明细</w:t>
      </w:r>
      <w:bookmarkStart w:id="0" w:name="_GoBack"/>
      <w:bookmarkEnd w:id="0"/>
    </w:p>
    <w:tbl>
      <w:tblPr>
        <w:tblStyle w:val="4"/>
        <w:tblW w:w="0" w:type="auto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4"/>
        <w:gridCol w:w="1730"/>
        <w:gridCol w:w="2068"/>
        <w:gridCol w:w="1832"/>
        <w:gridCol w:w="1763"/>
      </w:tblGrid>
      <w:tr w14:paraId="21F8F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4" w:type="dxa"/>
          </w:tcPr>
          <w:p w14:paraId="55DF66F0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730" w:type="dxa"/>
          </w:tcPr>
          <w:p w14:paraId="30570296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配置区域</w:t>
            </w:r>
          </w:p>
        </w:tc>
        <w:tc>
          <w:tcPr>
            <w:tcW w:w="2068" w:type="dxa"/>
          </w:tcPr>
          <w:p w14:paraId="7C985FAC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充装公斤</w:t>
            </w:r>
          </w:p>
        </w:tc>
        <w:tc>
          <w:tcPr>
            <w:tcW w:w="1832" w:type="dxa"/>
          </w:tcPr>
          <w:p w14:paraId="30D37C83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类型</w:t>
            </w:r>
          </w:p>
        </w:tc>
        <w:tc>
          <w:tcPr>
            <w:tcW w:w="1763" w:type="dxa"/>
          </w:tcPr>
          <w:p w14:paraId="54DA9C96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数量</w:t>
            </w:r>
          </w:p>
        </w:tc>
      </w:tr>
      <w:tr w14:paraId="0A72A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4" w:type="dxa"/>
            <w:vMerge w:val="restart"/>
          </w:tcPr>
          <w:p w14:paraId="3FA578D4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730" w:type="dxa"/>
            <w:vMerge w:val="restart"/>
          </w:tcPr>
          <w:p w14:paraId="4D17E836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2号楼负三层</w:t>
            </w:r>
          </w:p>
        </w:tc>
        <w:tc>
          <w:tcPr>
            <w:tcW w:w="2068" w:type="dxa"/>
          </w:tcPr>
          <w:p w14:paraId="718386CE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102kg</w:t>
            </w:r>
          </w:p>
        </w:tc>
        <w:tc>
          <w:tcPr>
            <w:tcW w:w="1832" w:type="dxa"/>
          </w:tcPr>
          <w:p w14:paraId="7706C873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七氟丙烷</w:t>
            </w:r>
          </w:p>
        </w:tc>
        <w:tc>
          <w:tcPr>
            <w:tcW w:w="1763" w:type="dxa"/>
          </w:tcPr>
          <w:p w14:paraId="0559C80F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24</w:t>
            </w:r>
          </w:p>
        </w:tc>
      </w:tr>
      <w:tr w14:paraId="0590D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4" w:type="dxa"/>
            <w:vMerge w:val="continue"/>
          </w:tcPr>
          <w:p w14:paraId="223C958E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30" w:type="dxa"/>
            <w:vMerge w:val="continue"/>
          </w:tcPr>
          <w:p w14:paraId="6D420A78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68" w:type="dxa"/>
          </w:tcPr>
          <w:p w14:paraId="3AFC3A2C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15Mpa/6.0L</w:t>
            </w:r>
          </w:p>
        </w:tc>
        <w:tc>
          <w:tcPr>
            <w:tcW w:w="1832" w:type="dxa"/>
          </w:tcPr>
          <w:p w14:paraId="0D613919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驱动气体</w:t>
            </w:r>
          </w:p>
        </w:tc>
        <w:tc>
          <w:tcPr>
            <w:tcW w:w="1763" w:type="dxa"/>
          </w:tcPr>
          <w:p w14:paraId="5B12DC1B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</w:tr>
      <w:tr w14:paraId="38FC7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4" w:type="dxa"/>
            <w:vMerge w:val="restart"/>
          </w:tcPr>
          <w:p w14:paraId="715DE7F0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730" w:type="dxa"/>
            <w:vMerge w:val="restart"/>
          </w:tcPr>
          <w:p w14:paraId="49A3E0D3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2号楼负二层</w:t>
            </w:r>
          </w:p>
        </w:tc>
        <w:tc>
          <w:tcPr>
            <w:tcW w:w="2068" w:type="dxa"/>
          </w:tcPr>
          <w:p w14:paraId="3708568E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94.2kg</w:t>
            </w:r>
          </w:p>
        </w:tc>
        <w:tc>
          <w:tcPr>
            <w:tcW w:w="1832" w:type="dxa"/>
          </w:tcPr>
          <w:p w14:paraId="0117D291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七氟丙烷</w:t>
            </w:r>
          </w:p>
        </w:tc>
        <w:tc>
          <w:tcPr>
            <w:tcW w:w="1763" w:type="dxa"/>
          </w:tcPr>
          <w:p w14:paraId="632D8D98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30</w:t>
            </w:r>
          </w:p>
        </w:tc>
      </w:tr>
      <w:tr w14:paraId="6420D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024" w:type="dxa"/>
            <w:vMerge w:val="continue"/>
          </w:tcPr>
          <w:p w14:paraId="3683B729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30" w:type="dxa"/>
            <w:vMerge w:val="continue"/>
          </w:tcPr>
          <w:p w14:paraId="70DF294B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68" w:type="dxa"/>
          </w:tcPr>
          <w:p w14:paraId="5A6846CC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15Mpa/6.0L</w:t>
            </w:r>
          </w:p>
        </w:tc>
        <w:tc>
          <w:tcPr>
            <w:tcW w:w="1832" w:type="dxa"/>
          </w:tcPr>
          <w:p w14:paraId="37293622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驱动气体</w:t>
            </w:r>
          </w:p>
        </w:tc>
        <w:tc>
          <w:tcPr>
            <w:tcW w:w="1763" w:type="dxa"/>
          </w:tcPr>
          <w:p w14:paraId="000A0E23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</w:tr>
      <w:tr w14:paraId="1C158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24" w:type="dxa"/>
          </w:tcPr>
          <w:p w14:paraId="14CAD2F7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730" w:type="dxa"/>
          </w:tcPr>
          <w:p w14:paraId="48EF5656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2号楼负二层换热机房</w:t>
            </w:r>
          </w:p>
        </w:tc>
        <w:tc>
          <w:tcPr>
            <w:tcW w:w="2068" w:type="dxa"/>
          </w:tcPr>
          <w:p w14:paraId="34217F34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84.5kg</w:t>
            </w:r>
          </w:p>
        </w:tc>
        <w:tc>
          <w:tcPr>
            <w:tcW w:w="1832" w:type="dxa"/>
          </w:tcPr>
          <w:p w14:paraId="277AE8DA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七氟丙烷</w:t>
            </w:r>
          </w:p>
        </w:tc>
        <w:tc>
          <w:tcPr>
            <w:tcW w:w="1763" w:type="dxa"/>
          </w:tcPr>
          <w:p w14:paraId="03059C14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</w:tr>
      <w:tr w14:paraId="16C83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24" w:type="dxa"/>
          </w:tcPr>
          <w:p w14:paraId="7EB7B892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730" w:type="dxa"/>
          </w:tcPr>
          <w:p w14:paraId="7BFBC915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2号楼负二层2号配电室</w:t>
            </w:r>
          </w:p>
        </w:tc>
        <w:tc>
          <w:tcPr>
            <w:tcW w:w="2068" w:type="dxa"/>
          </w:tcPr>
          <w:p w14:paraId="75F1679C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120kg</w:t>
            </w:r>
          </w:p>
        </w:tc>
        <w:tc>
          <w:tcPr>
            <w:tcW w:w="1832" w:type="dxa"/>
          </w:tcPr>
          <w:p w14:paraId="5476F6F1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七氟丙烷</w:t>
            </w:r>
          </w:p>
        </w:tc>
        <w:tc>
          <w:tcPr>
            <w:tcW w:w="1763" w:type="dxa"/>
          </w:tcPr>
          <w:p w14:paraId="5EFFBADC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</w:tr>
      <w:tr w14:paraId="12DC9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1024" w:type="dxa"/>
            <w:vMerge w:val="restart"/>
          </w:tcPr>
          <w:p w14:paraId="7D2EE64E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730" w:type="dxa"/>
            <w:vMerge w:val="restart"/>
          </w:tcPr>
          <w:p w14:paraId="40F20864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2号楼8层信息机房</w:t>
            </w:r>
          </w:p>
        </w:tc>
        <w:tc>
          <w:tcPr>
            <w:tcW w:w="2068" w:type="dxa"/>
          </w:tcPr>
          <w:p w14:paraId="6E0D37EC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102kg</w:t>
            </w:r>
          </w:p>
        </w:tc>
        <w:tc>
          <w:tcPr>
            <w:tcW w:w="1832" w:type="dxa"/>
          </w:tcPr>
          <w:p w14:paraId="0C5498F3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七氟丙烷</w:t>
            </w:r>
          </w:p>
        </w:tc>
        <w:tc>
          <w:tcPr>
            <w:tcW w:w="1763" w:type="dxa"/>
          </w:tcPr>
          <w:p w14:paraId="283C054F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</w:tr>
      <w:tr w14:paraId="1813F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24" w:type="dxa"/>
            <w:vMerge w:val="continue"/>
          </w:tcPr>
          <w:p w14:paraId="445CC961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30" w:type="dxa"/>
            <w:vMerge w:val="continue"/>
          </w:tcPr>
          <w:p w14:paraId="3FAA959C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68" w:type="dxa"/>
          </w:tcPr>
          <w:p w14:paraId="76B246A2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6.6Mpa/4.0L</w:t>
            </w:r>
          </w:p>
        </w:tc>
        <w:tc>
          <w:tcPr>
            <w:tcW w:w="1832" w:type="dxa"/>
          </w:tcPr>
          <w:p w14:paraId="32EDE0D0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驱动气体</w:t>
            </w:r>
          </w:p>
        </w:tc>
        <w:tc>
          <w:tcPr>
            <w:tcW w:w="1763" w:type="dxa"/>
          </w:tcPr>
          <w:p w14:paraId="1790FC31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</w:tr>
      <w:tr w14:paraId="4E137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24" w:type="dxa"/>
          </w:tcPr>
          <w:p w14:paraId="06D60700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1730" w:type="dxa"/>
          </w:tcPr>
          <w:p w14:paraId="1584840A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1号楼低压配电室</w:t>
            </w:r>
          </w:p>
        </w:tc>
        <w:tc>
          <w:tcPr>
            <w:tcW w:w="2068" w:type="dxa"/>
          </w:tcPr>
          <w:p w14:paraId="4B33881D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155kg（1个）</w:t>
            </w:r>
          </w:p>
          <w:p w14:paraId="6F4C6B60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145kg（1个）</w:t>
            </w:r>
          </w:p>
          <w:p w14:paraId="334DD9EA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140kg（1个）</w:t>
            </w:r>
          </w:p>
          <w:p w14:paraId="27885C0B">
            <w:pPr>
              <w:jc w:val="both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137.7kg（7个）</w:t>
            </w:r>
          </w:p>
        </w:tc>
        <w:tc>
          <w:tcPr>
            <w:tcW w:w="1832" w:type="dxa"/>
          </w:tcPr>
          <w:p w14:paraId="338D422A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七氟丙烷</w:t>
            </w:r>
          </w:p>
        </w:tc>
        <w:tc>
          <w:tcPr>
            <w:tcW w:w="1763" w:type="dxa"/>
          </w:tcPr>
          <w:p w14:paraId="79400EDD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</w:tr>
      <w:tr w14:paraId="786A1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24" w:type="dxa"/>
          </w:tcPr>
          <w:p w14:paraId="4AB9A953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1730" w:type="dxa"/>
          </w:tcPr>
          <w:p w14:paraId="0BAB1016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1号楼高压配电室</w:t>
            </w:r>
          </w:p>
        </w:tc>
        <w:tc>
          <w:tcPr>
            <w:tcW w:w="2068" w:type="dxa"/>
          </w:tcPr>
          <w:p w14:paraId="3498CCE8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130kg</w:t>
            </w:r>
          </w:p>
        </w:tc>
        <w:tc>
          <w:tcPr>
            <w:tcW w:w="1832" w:type="dxa"/>
          </w:tcPr>
          <w:p w14:paraId="3674B70B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七氟丙烷</w:t>
            </w:r>
          </w:p>
        </w:tc>
        <w:tc>
          <w:tcPr>
            <w:tcW w:w="1763" w:type="dxa"/>
          </w:tcPr>
          <w:p w14:paraId="4AB53CC1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</w:tr>
      <w:tr w14:paraId="618CB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24" w:type="dxa"/>
          </w:tcPr>
          <w:p w14:paraId="0BD8B968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1730" w:type="dxa"/>
          </w:tcPr>
          <w:p w14:paraId="6BC901E1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萃英雅园负二层配电室</w:t>
            </w:r>
          </w:p>
        </w:tc>
        <w:tc>
          <w:tcPr>
            <w:tcW w:w="2068" w:type="dxa"/>
          </w:tcPr>
          <w:p w14:paraId="54535D8B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140kg</w:t>
            </w:r>
          </w:p>
        </w:tc>
        <w:tc>
          <w:tcPr>
            <w:tcW w:w="1832" w:type="dxa"/>
          </w:tcPr>
          <w:p w14:paraId="04ACB779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七氟丙烷</w:t>
            </w:r>
          </w:p>
        </w:tc>
        <w:tc>
          <w:tcPr>
            <w:tcW w:w="1763" w:type="dxa"/>
          </w:tcPr>
          <w:p w14:paraId="288608F6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</w:tr>
      <w:tr w14:paraId="07A1B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24" w:type="dxa"/>
          </w:tcPr>
          <w:p w14:paraId="2152AAE8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1730" w:type="dxa"/>
          </w:tcPr>
          <w:p w14:paraId="222ABF8F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萃英花园低压配电室</w:t>
            </w:r>
          </w:p>
        </w:tc>
        <w:tc>
          <w:tcPr>
            <w:tcW w:w="2068" w:type="dxa"/>
          </w:tcPr>
          <w:p w14:paraId="50E7CA42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137.7kg（2个）</w:t>
            </w:r>
          </w:p>
          <w:p w14:paraId="7327E013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140kg（2个）</w:t>
            </w:r>
          </w:p>
        </w:tc>
        <w:tc>
          <w:tcPr>
            <w:tcW w:w="1832" w:type="dxa"/>
          </w:tcPr>
          <w:p w14:paraId="0139044B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七氟丙烷</w:t>
            </w:r>
          </w:p>
        </w:tc>
        <w:tc>
          <w:tcPr>
            <w:tcW w:w="1763" w:type="dxa"/>
          </w:tcPr>
          <w:p w14:paraId="466D519C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</w:tr>
      <w:tr w14:paraId="7F65A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24" w:type="dxa"/>
          </w:tcPr>
          <w:p w14:paraId="5D6BE1A3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1730" w:type="dxa"/>
          </w:tcPr>
          <w:p w14:paraId="245DB3B0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萃英花园高压配电室</w:t>
            </w:r>
          </w:p>
        </w:tc>
        <w:tc>
          <w:tcPr>
            <w:tcW w:w="2068" w:type="dxa"/>
          </w:tcPr>
          <w:p w14:paraId="4E3D2ACD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137.7kg</w:t>
            </w:r>
          </w:p>
        </w:tc>
        <w:tc>
          <w:tcPr>
            <w:tcW w:w="1832" w:type="dxa"/>
          </w:tcPr>
          <w:p w14:paraId="260BDFE4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七氟丙烷</w:t>
            </w:r>
          </w:p>
        </w:tc>
        <w:tc>
          <w:tcPr>
            <w:tcW w:w="1763" w:type="dxa"/>
          </w:tcPr>
          <w:p w14:paraId="1E2E31EC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</w:tr>
      <w:tr w14:paraId="204A5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24" w:type="dxa"/>
          </w:tcPr>
          <w:p w14:paraId="0A8114B6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1730" w:type="dxa"/>
          </w:tcPr>
          <w:p w14:paraId="06DD29C6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5号楼配电室</w:t>
            </w:r>
          </w:p>
        </w:tc>
        <w:tc>
          <w:tcPr>
            <w:tcW w:w="2068" w:type="dxa"/>
          </w:tcPr>
          <w:p w14:paraId="7C2E8374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137.7kg</w:t>
            </w:r>
          </w:p>
        </w:tc>
        <w:tc>
          <w:tcPr>
            <w:tcW w:w="1832" w:type="dxa"/>
          </w:tcPr>
          <w:p w14:paraId="0B90C350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七氟丙烷</w:t>
            </w:r>
          </w:p>
        </w:tc>
        <w:tc>
          <w:tcPr>
            <w:tcW w:w="1763" w:type="dxa"/>
          </w:tcPr>
          <w:p w14:paraId="0BFC9802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</w:tr>
    </w:tbl>
    <w:p w14:paraId="00A162DB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七氟丙烷充装总重量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：9655.7kg</w:t>
      </w:r>
    </w:p>
    <w:p w14:paraId="57356F1F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气瓶总数：88个</w:t>
      </w:r>
    </w:p>
    <w:p w14:paraId="62526985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驱动气体瓶数：8个</w:t>
      </w:r>
    </w:p>
    <w:p w14:paraId="11130ECB">
      <w:pPr>
        <w:ind w:firstLine="640" w:firstLineChars="200"/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BB544E0-FE60-4700-9F9B-D2043205A3F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F19639A2-909A-4750-96ED-0931655C02AE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375A6E81-ECA9-4CDC-81D8-2E971EEB32BF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CE1E0B"/>
    <w:rsid w:val="087860A5"/>
    <w:rsid w:val="21A210BD"/>
    <w:rsid w:val="46CE1E0B"/>
    <w:rsid w:val="68301747"/>
    <w:rsid w:val="6B62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1842</Words>
  <Characters>2149</Characters>
  <Lines>0</Lines>
  <Paragraphs>0</Paragraphs>
  <TotalTime>28</TotalTime>
  <ScaleCrop>false</ScaleCrop>
  <LinksUpToDate>false</LinksUpToDate>
  <CharactersWithSpaces>2161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2026-08-14T03:08:00Z</dcterms:created>
  <dc:creator>胖子李</dc:creator>
  <cp:lastModifiedBy>胖子李</cp:lastModifiedBy>
  <dcterms:modified xsi:type="dcterms:W3CDTF">2026-08-14T07:19:58Z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4A204E822AB04EC284246101EB1E514B_11</vt:lpwstr>
  </property>
  <property fmtid="{D5CDD505-2E9C-101B-9397-08002B2CF9AE}" pid="4" name="KSOTemplateDocerSaveRecord">
    <vt:lpwstr>eyJoZGlkIjoiZmRjODlmMGUxZWI4ODRhYTc0Mjc5NjdlZWY1NTQ3ZWIiLCJ1c2VySWQiOiIzNDM1ODY1OTkifQ==</vt:lpwstr>
  </property>
</Properties>
</file>